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180" w:lineRule="exact"/>
        <w:rPr>
          <w:rFonts w:ascii="Arial" w:hAnsi="Arial" w:cs="Arial"/>
          <w:b/>
          <w:color w:val="005BAC"/>
          <w:sz w:val="36"/>
          <w:szCs w:val="36"/>
        </w:rPr>
      </w:pPr>
    </w:p>
    <w:p>
      <w:pPr>
        <w:spacing w:line="0" w:lineRule="atLeast"/>
        <w:rPr>
          <w:rFonts w:ascii="Arial" w:hAnsi="Arial" w:cs="Arial"/>
          <w:b/>
          <w:color w:val="C9142A"/>
          <w:sz w:val="36"/>
          <w:szCs w:val="36"/>
        </w:rPr>
      </w:pPr>
      <w:r>
        <w:rPr>
          <w:rFonts w:hint="eastAsia" w:ascii="Arial" w:hAnsi="Arial" w:cs="Arial"/>
          <w:b/>
          <w:color w:val="C9142A"/>
          <w:sz w:val="36"/>
          <w:szCs w:val="36"/>
        </w:rPr>
        <w:t>I</w:t>
      </w:r>
      <w:r>
        <w:rPr>
          <w:rFonts w:ascii="Arial" w:hAnsi="Arial" w:cs="Arial"/>
          <w:b/>
          <w:color w:val="C9142A"/>
          <w:sz w:val="36"/>
          <w:szCs w:val="36"/>
        </w:rPr>
        <w:t>V</w:t>
      </w:r>
      <w:r>
        <w:rPr>
          <w:rFonts w:hint="eastAsia" w:ascii="Arial" w:hAnsi="Arial" w:cs="Arial"/>
          <w:b/>
          <w:color w:val="C9142A"/>
          <w:sz w:val="36"/>
          <w:szCs w:val="36"/>
        </w:rPr>
        <w:t>4020</w:t>
      </w:r>
    </w:p>
    <w:p>
      <w:pPr>
        <w:spacing w:line="280" w:lineRule="exact"/>
        <w:rPr>
          <w:rFonts w:hint="default" w:ascii="微软雅黑" w:hAnsi="微软雅黑" w:eastAsia="微软雅黑" w:cs="Arial"/>
          <w:b/>
          <w:color w:val="C9142A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Arial"/>
          <w:b/>
          <w:color w:val="C9142A"/>
          <w:sz w:val="24"/>
          <w:szCs w:val="24"/>
        </w:rPr>
        <w:t>抗UV冷裱膜</w:t>
      </w:r>
      <w:r>
        <w:rPr>
          <w:rFonts w:hint="eastAsia" w:ascii="微软雅黑" w:hAnsi="微软雅黑" w:eastAsia="微软雅黑" w:cs="Arial"/>
          <w:b/>
          <w:color w:val="C9142A"/>
          <w:sz w:val="24"/>
          <w:szCs w:val="24"/>
          <w:lang w:val="en-US" w:eastAsia="zh-CN"/>
        </w:rPr>
        <w:t>-环保</w:t>
      </w:r>
    </w:p>
    <w:p>
      <w:pPr>
        <w:spacing w:line="280" w:lineRule="exact"/>
        <w:rPr>
          <w:rFonts w:hint="eastAsia" w:ascii="Tahoma" w:hAnsi="Tahoma" w:cs="Tahoma"/>
          <w:szCs w:val="21"/>
        </w:rPr>
      </w:pPr>
    </w:p>
    <w:p>
      <w:pPr>
        <w:pStyle w:val="11"/>
        <w:rPr>
          <w:rFonts w:ascii="微软雅黑" w:hAnsi="微软雅黑" w:eastAsia="微软雅黑" w:cstheme="minorBidi"/>
          <w:b/>
          <w:color w:val="C00000"/>
          <w:kern w:val="2"/>
        </w:rPr>
      </w:pPr>
      <w:r>
        <w:rPr>
          <w:rFonts w:hint="eastAsia" w:ascii="微软雅黑" w:hAnsi="微软雅黑" w:eastAsia="微软雅黑" w:cstheme="minorBidi"/>
          <w:b/>
          <w:color w:val="C00000"/>
          <w:kern w:val="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143510</wp:posOffset>
            </wp:positionV>
            <wp:extent cx="150495" cy="150495"/>
            <wp:effectExtent l="0" t="0" r="1905" b="1905"/>
            <wp:wrapSquare wrapText="bothSides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theme="minorBidi"/>
          <w:b/>
          <w:color w:val="C00000"/>
          <w:kern w:val="2"/>
        </w:rPr>
        <w:t>产品描述：</w:t>
      </w:r>
    </w:p>
    <w:p>
      <w:pPr>
        <w:spacing w:line="320" w:lineRule="exact"/>
        <w:rPr>
          <w:rFonts w:ascii="微软雅黑" w:hAnsi="微软雅黑" w:eastAsia="微软雅黑"/>
          <w:sz w:val="18"/>
          <w:szCs w:val="18"/>
        </w:rPr>
      </w:pPr>
      <w:r>
        <w:rPr>
          <w:rFonts w:hint="eastAsia" w:ascii="微软雅黑" w:hAnsi="微软雅黑" w:eastAsia="微软雅黑"/>
          <w:sz w:val="18"/>
          <w:szCs w:val="18"/>
        </w:rPr>
        <w:t>面膜：80micron抗UV透明光膜；</w:t>
      </w:r>
    </w:p>
    <w:p>
      <w:pPr>
        <w:spacing w:line="320" w:lineRule="exact"/>
        <w:rPr>
          <w:rFonts w:ascii="微软雅黑" w:hAnsi="微软雅黑" w:eastAsia="微软雅黑"/>
          <w:sz w:val="18"/>
          <w:szCs w:val="18"/>
        </w:rPr>
      </w:pPr>
      <w:r>
        <w:rPr>
          <w:rFonts w:hint="eastAsia" w:ascii="微软雅黑" w:hAnsi="微软雅黑" w:eastAsia="微软雅黑"/>
          <w:sz w:val="18"/>
          <w:szCs w:val="18"/>
        </w:rPr>
        <w:t>胶水：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透明胶；</w:t>
      </w:r>
    </w:p>
    <w:p>
      <w:pPr>
        <w:spacing w:line="320" w:lineRule="exact"/>
        <w:rPr>
          <w:rFonts w:ascii="微软雅黑" w:hAnsi="微软雅黑" w:eastAsia="微软雅黑"/>
          <w:sz w:val="18"/>
          <w:szCs w:val="18"/>
        </w:rPr>
      </w:pPr>
      <w:r>
        <w:rPr>
          <w:rFonts w:hint="eastAsia" w:ascii="微软雅黑" w:hAnsi="微软雅黑" w:eastAsia="微软雅黑"/>
          <w:sz w:val="18"/>
          <w:szCs w:val="18"/>
        </w:rPr>
        <w:t>底材：120g 单淋纯木浆硅纸</w:t>
      </w:r>
    </w:p>
    <w:p>
      <w:pPr>
        <w:spacing w:line="320" w:lineRule="exact"/>
        <w:rPr>
          <w:rFonts w:ascii="微软雅黑" w:hAnsi="微软雅黑" w:eastAsia="微软雅黑"/>
          <w:sz w:val="18"/>
          <w:szCs w:val="18"/>
        </w:rPr>
      </w:pPr>
      <w:r>
        <w:rPr>
          <w:rFonts w:hint="eastAsia" w:ascii="微软雅黑" w:hAnsi="微软雅黑" w:eastAsia="微软雅黑"/>
          <w:sz w:val="18"/>
          <w:szCs w:val="18"/>
        </w:rPr>
        <w:t>宽幅：1.06/1.27/1.37/1.52m</w:t>
      </w:r>
    </w:p>
    <w:p>
      <w:pPr>
        <w:pStyle w:val="11"/>
        <w:rPr>
          <w:rFonts w:ascii="微软雅黑" w:hAnsi="微软雅黑" w:eastAsia="微软雅黑" w:cstheme="minorBidi"/>
          <w:b/>
          <w:color w:val="C00000"/>
          <w:kern w:val="2"/>
        </w:rPr>
      </w:pPr>
      <w:r>
        <w:rPr>
          <w:rFonts w:hint="eastAsia" w:ascii="微软雅黑" w:hAnsi="微软雅黑" w:eastAsia="微软雅黑" w:cstheme="minorBidi"/>
          <w:b/>
          <w:color w:val="C00000"/>
          <w:kern w:val="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140335</wp:posOffset>
            </wp:positionV>
            <wp:extent cx="150495" cy="150495"/>
            <wp:effectExtent l="0" t="0" r="1905" b="1905"/>
            <wp:wrapSquare wrapText="bothSides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theme="minorBidi"/>
          <w:b/>
          <w:color w:val="C00000"/>
          <w:kern w:val="2"/>
        </w:rPr>
        <w:t xml:space="preserve">产品特点： </w:t>
      </w:r>
    </w:p>
    <w:p>
      <w:pPr>
        <w:spacing w:line="320" w:lineRule="exact"/>
        <w:rPr>
          <w:rFonts w:ascii="微软雅黑" w:hAnsi="微软雅黑" w:eastAsia="微软雅黑"/>
          <w:sz w:val="18"/>
          <w:szCs w:val="18"/>
        </w:rPr>
      </w:pPr>
      <w:r>
        <w:rPr>
          <w:rFonts w:hint="eastAsia" w:ascii="微软雅黑" w:hAnsi="微软雅黑" w:eastAsia="微软雅黑"/>
          <w:sz w:val="18"/>
          <w:szCs w:val="18"/>
        </w:rPr>
        <w:t>1、二年期面膜，使用期限长，延长画面色彩饱和度的时间，更有效保护画面不褪色；</w:t>
      </w:r>
    </w:p>
    <w:p>
      <w:pPr>
        <w:spacing w:line="320" w:lineRule="exact"/>
        <w:rPr>
          <w:rFonts w:ascii="微软雅黑" w:hAnsi="微软雅黑" w:eastAsia="微软雅黑"/>
          <w:sz w:val="18"/>
          <w:szCs w:val="18"/>
        </w:rPr>
      </w:pPr>
      <w:bookmarkStart w:id="0" w:name="OLE_LINK6"/>
      <w:bookmarkStart w:id="1" w:name="OLE_LINK2"/>
      <w:bookmarkStart w:id="2" w:name="OLE_LINK3"/>
      <w:bookmarkStart w:id="3" w:name="OLE_LINK5"/>
      <w:bookmarkStart w:id="4" w:name="OLE_LINK1"/>
      <w:bookmarkStart w:id="5" w:name="OLE_LINK4"/>
      <w:r>
        <w:rPr>
          <w:rFonts w:hint="eastAsia" w:ascii="微软雅黑" w:hAnsi="微软雅黑" w:eastAsia="微软雅黑"/>
          <w:sz w:val="18"/>
          <w:szCs w:val="18"/>
        </w:rPr>
        <w:t>2、</w:t>
      </w:r>
      <w:bookmarkEnd w:id="0"/>
      <w:bookmarkEnd w:id="1"/>
      <w:bookmarkEnd w:id="2"/>
      <w:bookmarkEnd w:id="3"/>
      <w:bookmarkEnd w:id="4"/>
      <w:bookmarkEnd w:id="5"/>
      <w:r>
        <w:rPr>
          <w:rFonts w:hint="eastAsia" w:ascii="微软雅黑" w:hAnsi="微软雅黑" w:eastAsia="微软雅黑"/>
          <w:sz w:val="18"/>
          <w:szCs w:val="18"/>
        </w:rPr>
        <w:t>冷裱于平整画面表面，使画面更加生动，提升产品的档次；</w:t>
      </w:r>
    </w:p>
    <w:p>
      <w:pPr>
        <w:spacing w:line="320" w:lineRule="exact"/>
        <w:rPr>
          <w:rFonts w:hint="eastAsia" w:ascii="微软雅黑" w:hAnsi="微软雅黑" w:eastAsia="微软雅黑"/>
          <w:sz w:val="18"/>
          <w:szCs w:val="18"/>
        </w:rPr>
      </w:pPr>
      <w:r>
        <w:rPr>
          <w:rFonts w:hint="eastAsia" w:ascii="微软雅黑" w:hAnsi="微软雅黑" w:eastAsia="微软雅黑"/>
          <w:sz w:val="18"/>
          <w:szCs w:val="18"/>
        </w:rPr>
        <w:t>3、二年抗UV效果，可避免受紫外线照射引起的黄变现像。</w:t>
      </w:r>
    </w:p>
    <w:p>
      <w:pPr>
        <w:spacing w:line="320" w:lineRule="exact"/>
        <w:rPr>
          <w:rFonts w:hint="eastAsia" w:ascii="微软雅黑" w:hAnsi="微软雅黑" w:eastAsia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/>
          <w:sz w:val="18"/>
          <w:szCs w:val="18"/>
          <w:lang w:val="en-US" w:eastAsia="zh-CN"/>
        </w:rPr>
        <w:t>4、</w:t>
      </w:r>
      <w:r>
        <w:rPr>
          <w:rFonts w:hint="eastAsia" w:ascii="微软雅黑" w:hAnsi="微软雅黑" w:eastAsia="微软雅黑" w:cs="Tahoma"/>
          <w:kern w:val="0"/>
          <w:sz w:val="18"/>
          <w:szCs w:val="16"/>
        </w:rPr>
        <w:t>通过REACH(NO 1907/2006)、RoSH2.0认证，符合欧盟环保要求；</w:t>
      </w:r>
      <w:bookmarkStart w:id="6" w:name="_GoBack"/>
      <w:bookmarkEnd w:id="6"/>
    </w:p>
    <w:p>
      <w:pPr>
        <w:autoSpaceDE w:val="0"/>
        <w:autoSpaceDN w:val="0"/>
        <w:adjustRightInd w:val="0"/>
        <w:jc w:val="left"/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b/>
          <w:color w:val="C00000"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24130</wp:posOffset>
            </wp:positionH>
            <wp:positionV relativeFrom="paragraph">
              <wp:posOffset>151130</wp:posOffset>
            </wp:positionV>
            <wp:extent cx="150495" cy="150495"/>
            <wp:effectExtent l="0" t="0" r="1905" b="1905"/>
            <wp:wrapSquare wrapText="bothSides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/>
          <w:b/>
          <w:color w:val="C00000"/>
          <w:sz w:val="24"/>
          <w:szCs w:val="24"/>
        </w:rPr>
        <w:t>产品应用：</w:t>
      </w:r>
      <w:r>
        <w:rPr>
          <w:rFonts w:hint="eastAsia" w:ascii="微软雅黑" w:hAnsi="微软雅黑" w:eastAsia="微软雅黑"/>
          <w:b/>
          <w:color w:val="C00000"/>
        </w:rPr>
        <w:t xml:space="preserve"> </w:t>
      </w:r>
    </w:p>
    <w:p>
      <w:pPr>
        <w:rPr>
          <w:rFonts w:ascii="微软雅黑" w:hAnsi="微软雅黑" w:eastAsia="微软雅黑"/>
          <w:sz w:val="18"/>
          <w:szCs w:val="18"/>
        </w:rPr>
      </w:pPr>
      <w:r>
        <w:rPr>
          <w:rFonts w:hint="eastAsia" w:ascii="微软雅黑" w:hAnsi="微软雅黑" w:eastAsia="微软雅黑"/>
          <w:sz w:val="18"/>
          <w:szCs w:val="18"/>
        </w:rPr>
        <w:t>产品主要适用于画面保护（如：</w:t>
      </w:r>
      <w:r>
        <w:rPr>
          <w:rFonts w:hint="eastAsia" w:ascii="微软雅黑" w:hAnsi="微软雅黑" w:eastAsia="微软雅黑"/>
          <w:sz w:val="16"/>
          <w:u w:val="single"/>
        </w:rPr>
        <w:t>广告画面覆膜，照片覆膜，画面冷裱等）</w:t>
      </w:r>
      <w:r>
        <w:rPr>
          <w:rFonts w:hint="eastAsia" w:ascii="微软雅黑" w:hAnsi="微软雅黑" w:eastAsia="微软雅黑"/>
          <w:sz w:val="18"/>
          <w:szCs w:val="18"/>
        </w:rPr>
        <w:t>。</w:t>
      </w:r>
    </w:p>
    <w:p>
      <w:pPr>
        <w:pStyle w:val="11"/>
        <w:rPr>
          <w:rFonts w:ascii="微软雅黑" w:hAnsi="微软雅黑" w:eastAsia="微软雅黑" w:cstheme="minorBidi"/>
          <w:b/>
          <w:color w:val="C00000"/>
          <w:kern w:val="2"/>
        </w:rPr>
      </w:pPr>
      <w:r>
        <w:rPr>
          <w:rFonts w:hint="eastAsia" w:ascii="微软雅黑" w:hAnsi="微软雅黑" w:eastAsia="微软雅黑" w:cstheme="minorBidi"/>
          <w:b/>
          <w:color w:val="C00000"/>
          <w:kern w:val="2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138430</wp:posOffset>
            </wp:positionV>
            <wp:extent cx="150495" cy="150495"/>
            <wp:effectExtent l="0" t="0" r="1905" b="1905"/>
            <wp:wrapSquare wrapText="bothSides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theme="minorBidi"/>
          <w:b/>
          <w:color w:val="C00000"/>
          <w:kern w:val="2"/>
        </w:rPr>
        <w:t xml:space="preserve">技术参数： </w:t>
      </w:r>
    </w:p>
    <w:p>
      <w:pPr>
        <w:tabs>
          <w:tab w:val="left" w:pos="9529"/>
          <w:tab w:val="left" w:pos="9792"/>
          <w:tab w:val="right" w:pos="10466"/>
        </w:tabs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测试条件：室内温度</w:t>
      </w:r>
      <w: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23±2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℃、相对湿度</w:t>
      </w:r>
      <w: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50±5%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，以铝板、玻璃、钢板作为基材测试。</w:t>
      </w:r>
      <w: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ab/>
      </w:r>
      <w: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ab/>
      </w:r>
      <w: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ab/>
      </w:r>
    </w:p>
    <w:tbl>
      <w:tblPr>
        <w:tblStyle w:val="10"/>
        <w:tblW w:w="6912" w:type="dxa"/>
        <w:tblInd w:w="0" w:type="dxa"/>
        <w:tblBorders>
          <w:top w:val="single" w:color="000000" w:sz="8" w:space="0"/>
          <w:left w:val="none" w:color="auto" w:sz="0" w:space="0"/>
          <w:bottom w:val="single" w:color="000000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9"/>
        <w:gridCol w:w="1035"/>
        <w:gridCol w:w="1834"/>
        <w:gridCol w:w="2184"/>
      </w:tblGrid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" w:hRule="atLeast"/>
        </w:trPr>
        <w:tc>
          <w:tcPr>
            <w:tcW w:w="1859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  <w:insideH w:val="single" w:sz="8" w:space="0"/>
              <w:insideV w:val="nil"/>
              <w:tl2br w:val="nil"/>
              <w:tr2bl w:val="nil"/>
            </w:tcBorders>
            <w:shd w:val="clear" w:color="auto" w:fill="auto"/>
          </w:tcPr>
          <w:p>
            <w:pPr>
              <w:spacing w:before="0" w:beforeLines="0" w:beforeAutospacing="0" w:after="0" w:afterLines="0" w:afterAutospacing="0" w:line="240" w:lineRule="auto"/>
              <w:ind w:firstLine="320"/>
              <w:rPr>
                <w:rFonts w:ascii="Tahoma" w:hAnsi="Tahoma" w:eastAsia="宋体" w:cs="Tahoma"/>
                <w:b w:val="0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/>
                <w:bCs/>
                <w:color w:val="000000"/>
                <w:kern w:val="0"/>
                <w:sz w:val="16"/>
                <w:szCs w:val="18"/>
              </w:rPr>
              <w:t>指标</w:t>
            </w:r>
          </w:p>
        </w:tc>
        <w:tc>
          <w:tcPr>
            <w:tcW w:w="1035" w:type="dxa"/>
            <w:tcBorders>
              <w:top w:val="single" w:color="000000" w:sz="8" w:space="0"/>
              <w:bottom w:val="single" w:color="000000" w:sz="8" w:space="0"/>
              <w:right w:val="nil"/>
              <w:insideH w:val="single" w:sz="8" w:space="0"/>
              <w:insideV w:val="nil"/>
              <w:tl2br w:val="nil"/>
              <w:tr2bl w:val="nil"/>
            </w:tcBorders>
            <w:shd w:val="clear" w:color="auto" w:fill="auto"/>
          </w:tcPr>
          <w:p>
            <w:pPr>
              <w:spacing w:before="0" w:beforeLines="0" w:beforeAutospacing="0" w:after="0" w:afterLines="0" w:afterAutospacing="0" w:line="240" w:lineRule="auto"/>
              <w:rPr>
                <w:rFonts w:ascii="Tahoma" w:hAnsi="Tahoma" w:eastAsia="宋体" w:cs="Tahoma"/>
                <w:b w:val="0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/>
                <w:bCs/>
                <w:color w:val="000000"/>
                <w:kern w:val="0"/>
                <w:sz w:val="16"/>
                <w:szCs w:val="18"/>
              </w:rPr>
              <w:t>单位</w:t>
            </w:r>
          </w:p>
        </w:tc>
        <w:tc>
          <w:tcPr>
            <w:tcW w:w="1834" w:type="dxa"/>
            <w:tcBorders>
              <w:top w:val="single" w:color="000000" w:sz="8" w:space="0"/>
              <w:bottom w:val="single" w:color="000000" w:sz="8" w:space="0"/>
              <w:right w:val="nil"/>
              <w:insideH w:val="single" w:sz="8" w:space="0"/>
              <w:insideV w:val="nil"/>
              <w:tl2br w:val="nil"/>
              <w:tr2bl w:val="nil"/>
            </w:tcBorders>
            <w:shd w:val="clear" w:color="auto" w:fill="auto"/>
          </w:tcPr>
          <w:p>
            <w:pPr>
              <w:spacing w:before="0" w:beforeLines="0" w:beforeAutospacing="0" w:after="0" w:afterLines="0" w:afterAutospacing="0" w:line="240" w:lineRule="auto"/>
              <w:rPr>
                <w:rFonts w:ascii="Tahoma" w:hAnsi="Tahoma" w:eastAsia="宋体" w:cs="Tahoma"/>
                <w:b w:val="0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/>
                <w:bCs/>
                <w:color w:val="000000"/>
                <w:kern w:val="0"/>
                <w:sz w:val="16"/>
                <w:szCs w:val="18"/>
              </w:rPr>
              <w:t>测试方法</w:t>
            </w:r>
          </w:p>
        </w:tc>
        <w:tc>
          <w:tcPr>
            <w:tcW w:w="2184" w:type="dxa"/>
            <w:tcBorders>
              <w:top w:val="single" w:color="000000" w:sz="8" w:space="0"/>
              <w:bottom w:val="single" w:color="000000" w:sz="8" w:space="0"/>
              <w:right w:val="nil"/>
              <w:insideH w:val="single" w:sz="8" w:space="0"/>
              <w:insideV w:val="nil"/>
              <w:tl2br w:val="nil"/>
              <w:tr2bl w:val="nil"/>
            </w:tcBorders>
            <w:shd w:val="clear" w:color="auto" w:fill="auto"/>
          </w:tcPr>
          <w:p>
            <w:pPr>
              <w:spacing w:before="0" w:beforeLines="0" w:beforeAutospacing="0" w:after="0" w:afterLines="0" w:afterAutospacing="0" w:line="240" w:lineRule="auto"/>
              <w:rPr>
                <w:rFonts w:ascii="Tahoma" w:hAnsi="Tahoma" w:eastAsia="宋体" w:cs="Tahoma"/>
                <w:b w:val="0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/>
                <w:bCs/>
                <w:color w:val="000000"/>
                <w:kern w:val="0"/>
                <w:sz w:val="16"/>
                <w:szCs w:val="18"/>
              </w:rPr>
              <w:t>标准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1" w:hRule="atLeast"/>
        </w:trPr>
        <w:tc>
          <w:tcPr>
            <w:tcW w:w="1859" w:type="dxa"/>
            <w:tcBorders>
              <w:top w:val="single" w:color="000000" w:themeColor="text1" w:sz="8" w:space="0"/>
              <w:left w:val="nil"/>
              <w:bottom w:val="single" w:color="000000" w:themeColor="text1" w:sz="8" w:space="0"/>
              <w:right w:val="nil"/>
            </w:tcBorders>
            <w:shd w:val="clear" w:color="auto" w:fill="auto"/>
          </w:tcPr>
          <w:p>
            <w:pPr>
              <w:rPr>
                <w:rFonts w:ascii="Tahoma" w:hAnsi="Tahoma" w:eastAsia="宋体" w:cs="Tahoma"/>
                <w:b w:val="0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 w:val="0"/>
                <w:bCs/>
                <w:color w:val="000000"/>
                <w:kern w:val="0"/>
                <w:sz w:val="16"/>
                <w:szCs w:val="18"/>
              </w:rPr>
              <w:t>PVC 膜厚度</w:t>
            </w:r>
          </w:p>
          <w:p>
            <w:pPr>
              <w:rPr>
                <w:rFonts w:ascii="Tahoma" w:hAnsi="Tahoma" w:eastAsia="宋体" w:cs="Tahoma"/>
                <w:b/>
                <w:bCs w:val="0"/>
                <w:color w:val="000000"/>
                <w:kern w:val="0"/>
                <w:sz w:val="16"/>
                <w:szCs w:val="18"/>
              </w:rPr>
            </w:pPr>
            <w:r>
              <w:rPr>
                <w:rFonts w:hint="eastAsia" w:ascii="Tahoma" w:hAnsi="Tahoma" w:eastAsia="宋体" w:cs="Tahoma"/>
                <w:b w:val="0"/>
                <w:bCs/>
                <w:color w:val="000000"/>
                <w:kern w:val="0"/>
                <w:sz w:val="16"/>
                <w:szCs w:val="18"/>
              </w:rPr>
              <w:t>底纸克重</w:t>
            </w:r>
          </w:p>
          <w:p>
            <w:pPr>
              <w:rPr>
                <w:rFonts w:ascii="Tahoma" w:hAnsi="Tahoma" w:eastAsia="宋体" w:cs="Tahoma"/>
                <w:b w:val="0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 w:val="0"/>
                <w:bCs/>
                <w:color w:val="000000"/>
                <w:kern w:val="0"/>
                <w:sz w:val="16"/>
                <w:szCs w:val="18"/>
              </w:rPr>
              <w:t>成品重量</w:t>
            </w:r>
          </w:p>
          <w:p>
            <w:pPr>
              <w:rPr>
                <w:rFonts w:ascii="Tahoma" w:hAnsi="Tahoma" w:eastAsia="宋体" w:cs="Tahoma"/>
                <w:b w:val="0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 w:val="0"/>
                <w:bCs/>
                <w:color w:val="000000"/>
                <w:kern w:val="0"/>
                <w:sz w:val="16"/>
                <w:szCs w:val="18"/>
              </w:rPr>
              <w:t>初粘力</w:t>
            </w:r>
          </w:p>
          <w:p>
            <w:pPr>
              <w:rPr>
                <w:rFonts w:ascii="Tahoma" w:hAnsi="Tahoma" w:eastAsia="宋体" w:cs="Tahoma"/>
                <w:b/>
                <w:bCs w:val="0"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 w:val="0"/>
                <w:bCs/>
                <w:color w:val="000000"/>
                <w:kern w:val="0"/>
                <w:sz w:val="16"/>
                <w:szCs w:val="18"/>
              </w:rPr>
              <w:t>24h，180°剥离力</w:t>
            </w:r>
          </w:p>
          <w:p>
            <w:pPr>
              <w:rPr>
                <w:rFonts w:ascii="Tahoma" w:hAnsi="Tahoma" w:eastAsia="宋体" w:cs="Tahoma"/>
                <w:b/>
                <w:bCs w:val="0"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 w:val="0"/>
                <w:bCs/>
                <w:color w:val="000000"/>
                <w:kern w:val="0"/>
                <w:sz w:val="16"/>
                <w:szCs w:val="18"/>
              </w:rPr>
              <w:t>尺寸稳定性MD</w:t>
            </w:r>
          </w:p>
          <w:p>
            <w:pPr>
              <w:rPr>
                <w:rFonts w:ascii="Tahoma" w:hAnsi="Tahoma" w:eastAsia="宋体" w:cs="Tahoma"/>
                <w:b/>
                <w:bCs w:val="0"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 w:val="0"/>
                <w:bCs/>
                <w:color w:val="000000"/>
                <w:kern w:val="0"/>
                <w:sz w:val="16"/>
                <w:szCs w:val="18"/>
              </w:rPr>
              <w:t>尺寸稳定性CD</w:t>
            </w:r>
          </w:p>
          <w:p>
            <w:pPr>
              <w:rPr>
                <w:rFonts w:ascii="Tahoma" w:hAnsi="Tahoma" w:eastAsia="宋体" w:cs="Tahoma"/>
                <w:b/>
                <w:bCs w:val="0"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 w:val="0"/>
                <w:bCs/>
                <w:color w:val="000000"/>
                <w:kern w:val="0"/>
                <w:sz w:val="16"/>
                <w:szCs w:val="18"/>
              </w:rPr>
              <w:t>拉伸强度 MD</w:t>
            </w:r>
          </w:p>
          <w:p>
            <w:pPr>
              <w:rPr>
                <w:rFonts w:ascii="Tahoma" w:hAnsi="Tahoma" w:eastAsia="宋体" w:cs="Tahoma"/>
                <w:b w:val="0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 w:val="0"/>
                <w:bCs/>
                <w:color w:val="000000"/>
                <w:kern w:val="0"/>
                <w:sz w:val="16"/>
                <w:szCs w:val="18"/>
              </w:rPr>
              <w:t>拉伸强度 CD</w:t>
            </w:r>
          </w:p>
          <w:p>
            <w:pPr>
              <w:rPr>
                <w:rFonts w:ascii="Tahoma" w:hAnsi="Tahoma" w:eastAsia="宋体" w:cs="Tahoma"/>
                <w:b w:val="0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 w:val="0"/>
                <w:bCs/>
                <w:color w:val="000000"/>
                <w:kern w:val="0"/>
                <w:sz w:val="16"/>
                <w:szCs w:val="18"/>
              </w:rPr>
              <w:t>施工温度</w:t>
            </w:r>
          </w:p>
          <w:p>
            <w:pPr>
              <w:rPr>
                <w:rFonts w:ascii="Tahoma" w:hAnsi="Tahoma" w:eastAsia="宋体" w:cs="Tahoma"/>
                <w:b w:val="0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 w:val="0"/>
                <w:bCs/>
                <w:color w:val="000000"/>
                <w:kern w:val="0"/>
                <w:sz w:val="16"/>
                <w:szCs w:val="18"/>
              </w:rPr>
              <w:t>适用温度</w:t>
            </w:r>
          </w:p>
        </w:tc>
        <w:tc>
          <w:tcPr>
            <w:tcW w:w="1035" w:type="dxa"/>
            <w:tcBorders>
              <w:top w:val="single" w:color="000000" w:themeColor="text1" w:sz="8" w:space="0"/>
              <w:left w:val="nil"/>
              <w:bottom w:val="single" w:color="000000" w:themeColor="text1" w:sz="8" w:space="0"/>
              <w:right w:val="nil"/>
            </w:tcBorders>
            <w:shd w:val="clear" w:color="auto" w:fill="auto"/>
          </w:tcPr>
          <w:p>
            <w:pPr>
              <w:rPr>
                <w:rFonts w:ascii="Times New Roman" w:hAnsi="Times New Roman" w:eastAsia="宋体" w:cs="Times New Roman"/>
                <w:bCs/>
                <w:color w:val="000000"/>
                <w:kern w:val="0"/>
                <w:sz w:val="16"/>
                <w:szCs w:val="20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kern w:val="0"/>
                <w:sz w:val="16"/>
                <w:szCs w:val="20"/>
              </w:rPr>
              <w:t>Micron</w:t>
            </w:r>
          </w:p>
          <w:p>
            <w:pP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>g/m²</w:t>
            </w:r>
          </w:p>
          <w:p>
            <w:pP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>g/m²</w:t>
            </w:r>
          </w:p>
          <w:p>
            <w:pP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>N/25mm</w:t>
            </w:r>
          </w:p>
          <w:p>
            <w:pP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>N/25mm</w:t>
            </w:r>
          </w:p>
          <w:p>
            <w:pP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>mm</w:t>
            </w:r>
          </w:p>
          <w:p>
            <w:pP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>mm</w:t>
            </w:r>
          </w:p>
          <w:p>
            <w:pP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>N/25 mm</w:t>
            </w:r>
          </w:p>
          <w:p>
            <w:pP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>N/25 mm</w:t>
            </w:r>
          </w:p>
          <w:p>
            <w:pP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16"/>
                <w:szCs w:val="18"/>
              </w:rPr>
              <w:t>℃</w:t>
            </w:r>
          </w:p>
          <w:p>
            <w:pP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16"/>
                <w:szCs w:val="18"/>
              </w:rPr>
              <w:t>℃</w:t>
            </w:r>
          </w:p>
        </w:tc>
        <w:tc>
          <w:tcPr>
            <w:tcW w:w="1834" w:type="dxa"/>
            <w:tcBorders>
              <w:top w:val="single" w:color="000000" w:themeColor="text1" w:sz="8" w:space="0"/>
              <w:bottom w:val="single" w:color="000000" w:themeColor="text1" w:sz="8" w:space="0"/>
              <w:right w:val="nil"/>
            </w:tcBorders>
            <w:shd w:val="clear" w:color="auto" w:fill="auto"/>
          </w:tcPr>
          <w:p>
            <w:pP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>GB/T6672-2001</w:t>
            </w:r>
          </w:p>
          <w:p>
            <w:pP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>GB4669-1995</w:t>
            </w:r>
          </w:p>
          <w:p>
            <w:pP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>GB4669-1995</w:t>
            </w:r>
          </w:p>
          <w:p>
            <w:pP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>FTM</w:t>
            </w:r>
            <w:r>
              <w:rPr>
                <w:rFonts w:hint="eastAsia"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 xml:space="preserve"> </w:t>
            </w:r>
            <w: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>9</w:t>
            </w:r>
          </w:p>
          <w:p>
            <w:pP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>FTM</w:t>
            </w:r>
            <w:r>
              <w:rPr>
                <w:rFonts w:hint="eastAsia"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 xml:space="preserve"> </w:t>
            </w:r>
            <w: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>1</w:t>
            </w:r>
          </w:p>
          <w:p>
            <w:pP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>FTM</w:t>
            </w:r>
            <w:r>
              <w:rPr>
                <w:rFonts w:hint="eastAsia"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 xml:space="preserve"> </w:t>
            </w:r>
            <w: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>14</w:t>
            </w:r>
          </w:p>
          <w:p>
            <w:pP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>FTM</w:t>
            </w:r>
            <w:r>
              <w:rPr>
                <w:rFonts w:hint="eastAsia"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 xml:space="preserve"> </w:t>
            </w:r>
            <w: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 xml:space="preserve">14   </w:t>
            </w:r>
          </w:p>
          <w:p>
            <w:pP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>GB/T1040.1-2006</w:t>
            </w:r>
          </w:p>
          <w:p>
            <w:pP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>GB/T1040.1-2006</w:t>
            </w:r>
          </w:p>
          <w:p>
            <w:pP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</w:pPr>
          </w:p>
        </w:tc>
        <w:tc>
          <w:tcPr>
            <w:tcW w:w="2184" w:type="dxa"/>
            <w:tcBorders>
              <w:top w:val="single" w:color="000000" w:themeColor="text1" w:sz="8" w:space="0"/>
              <w:bottom w:val="single" w:color="000000" w:themeColor="text1" w:sz="8" w:space="0"/>
              <w:right w:val="nil"/>
            </w:tcBorders>
            <w:shd w:val="clear" w:color="auto" w:fill="auto"/>
          </w:tcPr>
          <w:p>
            <w:pPr>
              <w:rPr>
                <w:rFonts w:ascii="Tahoma" w:hAnsi="Tahoma" w:eastAsia="宋体" w:cs="Tahoma"/>
                <w:bCs/>
                <w:color w:val="auto"/>
                <w:kern w:val="0"/>
                <w:sz w:val="16"/>
                <w:szCs w:val="18"/>
              </w:rPr>
            </w:pPr>
            <w:r>
              <w:rPr>
                <w:rFonts w:hint="eastAsia" w:ascii="Tahoma" w:hAnsi="Tahoma" w:eastAsia="宋体" w:cs="Tahoma"/>
                <w:bCs/>
                <w:color w:val="auto"/>
                <w:kern w:val="0"/>
                <w:sz w:val="16"/>
                <w:szCs w:val="18"/>
              </w:rPr>
              <w:t>80</w:t>
            </w:r>
            <w:r>
              <w:rPr>
                <w:rFonts w:ascii="Tahoma" w:hAnsi="Tahoma" w:eastAsia="宋体" w:cs="Tahoma"/>
                <w:bCs/>
                <w:color w:val="auto"/>
                <w:kern w:val="0"/>
                <w:sz w:val="16"/>
                <w:szCs w:val="18"/>
              </w:rPr>
              <w:t>±</w:t>
            </w:r>
            <w:r>
              <w:rPr>
                <w:rFonts w:hint="eastAsia" w:ascii="Tahoma" w:hAnsi="Tahoma" w:eastAsia="宋体" w:cs="Tahoma"/>
                <w:bCs/>
                <w:color w:val="auto"/>
                <w:kern w:val="0"/>
                <w:sz w:val="16"/>
                <w:szCs w:val="18"/>
              </w:rPr>
              <w:t>10</w:t>
            </w:r>
          </w:p>
          <w:p>
            <w:pPr>
              <w:rPr>
                <w:rFonts w:ascii="Tahoma" w:hAnsi="Tahoma" w:eastAsia="宋体" w:cs="Tahoma"/>
                <w:b/>
                <w:color w:val="auto"/>
                <w:kern w:val="0"/>
                <w:sz w:val="16"/>
                <w:szCs w:val="18"/>
              </w:rPr>
            </w:pPr>
            <w:r>
              <w:rPr>
                <w:rFonts w:hint="eastAsia" w:ascii="Tahoma" w:hAnsi="Tahoma" w:eastAsia="宋体" w:cs="Tahoma"/>
                <w:bCs/>
                <w:color w:val="auto"/>
                <w:kern w:val="0"/>
                <w:sz w:val="16"/>
                <w:szCs w:val="18"/>
              </w:rPr>
              <w:t>120</w:t>
            </w:r>
            <w:r>
              <w:rPr>
                <w:rFonts w:ascii="Tahoma" w:hAnsi="Tahoma" w:eastAsia="宋体" w:cs="Tahoma"/>
                <w:bCs/>
                <w:color w:val="auto"/>
                <w:kern w:val="0"/>
                <w:sz w:val="16"/>
                <w:szCs w:val="18"/>
              </w:rPr>
              <w:t>±</w:t>
            </w:r>
            <w:r>
              <w:rPr>
                <w:rFonts w:hint="eastAsia" w:ascii="Tahoma" w:hAnsi="Tahoma" w:eastAsia="宋体" w:cs="Tahoma"/>
                <w:bCs/>
                <w:color w:val="auto"/>
                <w:kern w:val="0"/>
                <w:sz w:val="16"/>
                <w:szCs w:val="18"/>
              </w:rPr>
              <w:t>10</w:t>
            </w:r>
          </w:p>
          <w:p>
            <w:pPr>
              <w:rPr>
                <w:rFonts w:ascii="Tahoma" w:hAnsi="Tahoma" w:eastAsia="宋体" w:cs="Tahoma"/>
                <w:bCs/>
                <w:color w:val="auto"/>
                <w:kern w:val="0"/>
                <w:sz w:val="16"/>
                <w:szCs w:val="18"/>
              </w:rPr>
            </w:pPr>
            <w:r>
              <w:rPr>
                <w:rFonts w:hint="eastAsia" w:ascii="Tahoma" w:hAnsi="Tahoma" w:eastAsia="宋体" w:cs="Tahoma"/>
                <w:bCs/>
                <w:color w:val="auto"/>
                <w:kern w:val="0"/>
                <w:sz w:val="16"/>
                <w:szCs w:val="18"/>
              </w:rPr>
              <w:t>255</w:t>
            </w:r>
            <w:r>
              <w:rPr>
                <w:rFonts w:ascii="Tahoma" w:hAnsi="Tahoma" w:eastAsia="宋体" w:cs="Tahoma"/>
                <w:bCs/>
                <w:color w:val="auto"/>
                <w:kern w:val="0"/>
                <w:sz w:val="16"/>
                <w:szCs w:val="18"/>
              </w:rPr>
              <w:t>±20</w:t>
            </w:r>
          </w:p>
          <w:p>
            <w:pPr>
              <w:rPr>
                <w:rFonts w:ascii="Tahoma" w:hAnsi="Tahoma" w:eastAsia="宋体" w:cs="Tahoma"/>
                <w:bCs/>
                <w:color w:val="auto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auto"/>
                <w:kern w:val="0"/>
                <w:sz w:val="16"/>
                <w:szCs w:val="18"/>
              </w:rPr>
              <w:t>≥</w:t>
            </w:r>
            <w:r>
              <w:rPr>
                <w:rFonts w:hint="eastAsia" w:ascii="Tahoma" w:hAnsi="Tahoma" w:eastAsia="宋体" w:cs="Tahoma"/>
                <w:bCs/>
                <w:color w:val="auto"/>
                <w:kern w:val="0"/>
                <w:sz w:val="16"/>
                <w:szCs w:val="18"/>
              </w:rPr>
              <w:t>11</w:t>
            </w:r>
          </w:p>
          <w:p>
            <w:pPr>
              <w:rPr>
                <w:rFonts w:ascii="Tahoma" w:hAnsi="Tahoma" w:eastAsia="宋体" w:cs="Tahoma"/>
                <w:bCs/>
                <w:color w:val="auto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auto"/>
                <w:kern w:val="0"/>
                <w:sz w:val="16"/>
                <w:szCs w:val="18"/>
              </w:rPr>
              <w:t>≥</w:t>
            </w:r>
            <w:r>
              <w:rPr>
                <w:rFonts w:hint="eastAsia" w:ascii="Tahoma" w:hAnsi="Tahoma" w:eastAsia="宋体" w:cs="Tahoma"/>
                <w:bCs/>
                <w:color w:val="auto"/>
                <w:kern w:val="0"/>
                <w:sz w:val="16"/>
                <w:szCs w:val="18"/>
              </w:rPr>
              <w:t>13</w:t>
            </w:r>
          </w:p>
          <w:p>
            <w:pPr>
              <w:rPr>
                <w:rFonts w:ascii="Tahoma" w:hAnsi="Tahoma" w:eastAsia="宋体" w:cs="Tahoma"/>
                <w:b/>
                <w:color w:val="auto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auto"/>
                <w:kern w:val="0"/>
                <w:sz w:val="16"/>
                <w:szCs w:val="18"/>
              </w:rPr>
              <w:t>≤</w:t>
            </w:r>
            <w:r>
              <w:rPr>
                <w:rFonts w:hint="eastAsia" w:ascii="Tahoma" w:hAnsi="Tahoma" w:eastAsia="宋体" w:cs="Tahoma"/>
                <w:bCs/>
                <w:color w:val="auto"/>
                <w:kern w:val="0"/>
                <w:sz w:val="16"/>
                <w:szCs w:val="18"/>
              </w:rPr>
              <w:t>1.0</w:t>
            </w:r>
          </w:p>
          <w:p>
            <w:pPr>
              <w:rPr>
                <w:rFonts w:ascii="Tahoma" w:hAnsi="Tahoma" w:eastAsia="宋体" w:cs="Tahoma"/>
                <w:b/>
                <w:color w:val="auto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auto"/>
                <w:kern w:val="0"/>
                <w:sz w:val="16"/>
                <w:szCs w:val="18"/>
              </w:rPr>
              <w:t>≤</w:t>
            </w:r>
            <w:r>
              <w:rPr>
                <w:rFonts w:hint="eastAsia" w:ascii="Tahoma" w:hAnsi="Tahoma" w:eastAsia="宋体" w:cs="Tahoma"/>
                <w:bCs/>
                <w:color w:val="auto"/>
                <w:kern w:val="0"/>
                <w:sz w:val="16"/>
                <w:szCs w:val="18"/>
              </w:rPr>
              <w:t>0.6</w:t>
            </w:r>
          </w:p>
          <w:p>
            <w:pPr>
              <w:rPr>
                <w:rFonts w:ascii="Tahoma" w:hAnsi="Tahoma" w:eastAsia="宋体" w:cs="Tahoma"/>
                <w:b/>
                <w:color w:val="auto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auto"/>
                <w:kern w:val="0"/>
                <w:sz w:val="16"/>
                <w:szCs w:val="18"/>
              </w:rPr>
              <w:t>≥</w:t>
            </w:r>
            <w:r>
              <w:rPr>
                <w:rFonts w:hint="eastAsia" w:ascii="Tahoma" w:hAnsi="Tahoma" w:eastAsia="宋体" w:cs="Tahoma"/>
                <w:bCs/>
                <w:color w:val="auto"/>
                <w:kern w:val="0"/>
                <w:sz w:val="16"/>
                <w:szCs w:val="18"/>
              </w:rPr>
              <w:t>40</w:t>
            </w:r>
          </w:p>
          <w:p>
            <w:pPr>
              <w:rPr>
                <w:rFonts w:ascii="Tahoma" w:hAnsi="Tahoma" w:eastAsia="宋体" w:cs="Tahoma"/>
                <w:bCs/>
                <w:color w:val="auto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auto"/>
                <w:kern w:val="0"/>
                <w:sz w:val="16"/>
                <w:szCs w:val="18"/>
              </w:rPr>
              <w:t>≥</w:t>
            </w:r>
            <w:r>
              <w:rPr>
                <w:rFonts w:hint="eastAsia" w:ascii="Tahoma" w:hAnsi="Tahoma" w:eastAsia="宋体" w:cs="Tahoma"/>
                <w:bCs/>
                <w:color w:val="auto"/>
                <w:kern w:val="0"/>
                <w:sz w:val="16"/>
                <w:szCs w:val="18"/>
              </w:rPr>
              <w:t>35</w:t>
            </w:r>
          </w:p>
          <w:p>
            <w:pPr>
              <w:rPr>
                <w:rFonts w:ascii="Tahoma" w:hAnsi="Tahoma" w:eastAsia="宋体" w:cs="Tahoma"/>
                <w:color w:val="auto"/>
                <w:kern w:val="0"/>
                <w:sz w:val="16"/>
                <w:szCs w:val="20"/>
              </w:rPr>
            </w:pPr>
            <w:r>
              <w:rPr>
                <w:rFonts w:ascii="Tahoma" w:hAnsi="Tahoma" w:eastAsia="宋体" w:cs="Tahoma"/>
                <w:color w:val="auto"/>
                <w:kern w:val="0"/>
                <w:sz w:val="16"/>
                <w:szCs w:val="20"/>
              </w:rPr>
              <w:t>20±10</w:t>
            </w:r>
          </w:p>
          <w:p>
            <w:pPr>
              <w:rPr>
                <w:rFonts w:ascii="Tahoma" w:hAnsi="Tahoma" w:eastAsia="宋体" w:cs="Tahoma"/>
                <w:bCs/>
                <w:color w:val="auto"/>
                <w:kern w:val="0"/>
                <w:sz w:val="16"/>
                <w:szCs w:val="18"/>
              </w:rPr>
            </w:pPr>
            <w:r>
              <w:rPr>
                <w:rFonts w:hint="eastAsia" w:ascii="Tahoma" w:hAnsi="Tahoma" w:eastAsia="宋体" w:cs="Tahoma"/>
                <w:bCs/>
                <w:color w:val="auto"/>
                <w:kern w:val="0"/>
                <w:sz w:val="16"/>
                <w:szCs w:val="18"/>
              </w:rPr>
              <w:t>-</w:t>
            </w:r>
            <w:r>
              <w:rPr>
                <w:rFonts w:ascii="Tahoma" w:hAnsi="Tahoma" w:eastAsia="宋体" w:cs="Tahoma"/>
                <w:bCs/>
                <w:color w:val="auto"/>
                <w:kern w:val="0"/>
                <w:sz w:val="16"/>
                <w:szCs w:val="18"/>
              </w:rPr>
              <w:t>20～+70</w:t>
            </w:r>
          </w:p>
        </w:tc>
      </w:tr>
    </w:tbl>
    <w:p>
      <w:pPr>
        <w:tabs>
          <w:tab w:val="center" w:pos="1301"/>
        </w:tabs>
        <w:rPr>
          <w:b/>
          <w:color w:val="000000" w:themeColor="text1"/>
          <w:sz w:val="16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16"/>
          <w14:textFill>
            <w14:solidFill>
              <w14:schemeClr w14:val="tx1"/>
            </w14:solidFill>
          </w14:textFill>
        </w:rPr>
        <w:tab/>
      </w:r>
      <w:r>
        <w:rPr>
          <w:rFonts w:hint="eastAsia"/>
          <w:b/>
          <w:color w:val="000000" w:themeColor="text1"/>
          <w:sz w:val="16"/>
          <w14:textFill>
            <w14:solidFill>
              <w14:schemeClr w14:val="tx1"/>
            </w14:solidFill>
          </w14:textFill>
        </w:rPr>
        <w:t>*以上所有参数的变更恕不另行通知</w:t>
      </w:r>
    </w:p>
    <w:p>
      <w:pPr>
        <w:tabs>
          <w:tab w:val="center" w:pos="1301"/>
        </w:tabs>
        <w:rPr>
          <w:b/>
          <w:color w:val="000000" w:themeColor="text1"/>
          <w:sz w:val="16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b/>
          <w:color w:val="C00000"/>
          <w:sz w:val="24"/>
          <w:szCs w:val="24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6985</wp:posOffset>
            </wp:positionH>
            <wp:positionV relativeFrom="paragraph">
              <wp:posOffset>125095</wp:posOffset>
            </wp:positionV>
            <wp:extent cx="150495" cy="150495"/>
            <wp:effectExtent l="0" t="0" r="1905" b="1905"/>
            <wp:wrapSquare wrapText="bothSides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/>
          <w:b/>
          <w:color w:val="C00000"/>
          <w:sz w:val="24"/>
          <w:szCs w:val="24"/>
        </w:rPr>
        <w:t>仓储条件：</w:t>
      </w:r>
      <w:r>
        <w:rPr>
          <w:rFonts w:hint="eastAsia" w:ascii="微软雅黑" w:hAnsi="微软雅黑" w:eastAsia="微软雅黑"/>
          <w:b/>
          <w:color w:val="C00000"/>
        </w:rPr>
        <w:t xml:space="preserve"> </w:t>
      </w:r>
    </w:p>
    <w:p>
      <w:pPr>
        <w:rPr>
          <w:rFonts w:ascii="微软雅黑" w:hAnsi="微软雅黑" w:eastAsia="微软雅黑"/>
          <w:sz w:val="18"/>
          <w:szCs w:val="18"/>
        </w:rPr>
      </w:pPr>
      <w:r>
        <w:rPr>
          <w:rFonts w:hint="eastAsia" w:ascii="微软雅黑" w:hAnsi="微软雅黑" w:eastAsia="微软雅黑"/>
          <w:sz w:val="18"/>
          <w:szCs w:val="18"/>
        </w:rPr>
        <w:t>所有INFLEX的产品需储放在原始包装中用原始的保护材料，建议密封保存，水平放置，叠放层高不宜超过6层，避免阳光直射、热源直接接触。仓储温度</w:t>
      </w:r>
      <w:r>
        <w:rPr>
          <w:rFonts w:ascii="微软雅黑" w:hAnsi="微软雅黑" w:eastAsia="微软雅黑"/>
          <w:sz w:val="18"/>
          <w:szCs w:val="18"/>
        </w:rPr>
        <w:t>2</w:t>
      </w:r>
      <w:r>
        <w:rPr>
          <w:rFonts w:hint="eastAsia" w:ascii="微软雅黑" w:hAnsi="微软雅黑" w:eastAsia="微软雅黑"/>
          <w:sz w:val="18"/>
          <w:szCs w:val="18"/>
        </w:rPr>
        <w:t>5</w:t>
      </w:r>
      <w:r>
        <w:rPr>
          <w:rFonts w:ascii="微软雅黑" w:hAnsi="微软雅黑" w:eastAsia="微软雅黑"/>
          <w:sz w:val="18"/>
          <w:szCs w:val="18"/>
        </w:rPr>
        <w:t>±</w:t>
      </w:r>
      <w:r>
        <w:rPr>
          <w:rFonts w:hint="eastAsia" w:ascii="微软雅黑" w:hAnsi="微软雅黑" w:eastAsia="微软雅黑"/>
          <w:sz w:val="18"/>
          <w:szCs w:val="18"/>
        </w:rPr>
        <w:t>5℃、相对湿度50</w:t>
      </w:r>
      <w:r>
        <w:rPr>
          <w:rFonts w:ascii="微软雅黑" w:hAnsi="微软雅黑" w:eastAsia="微软雅黑"/>
          <w:sz w:val="18"/>
          <w:szCs w:val="18"/>
        </w:rPr>
        <w:t>±</w:t>
      </w:r>
      <w:r>
        <w:rPr>
          <w:rFonts w:hint="eastAsia" w:ascii="微软雅黑" w:hAnsi="微软雅黑" w:eastAsia="微软雅黑"/>
          <w:sz w:val="18"/>
          <w:szCs w:val="18"/>
        </w:rPr>
        <w:t>15%。在这种条件下，该产品储存期是一年。</w:t>
      </w:r>
    </w:p>
    <w:p>
      <w:pPr>
        <w:pStyle w:val="11"/>
        <w:rPr>
          <w:rFonts w:ascii="微软雅黑" w:hAnsi="微软雅黑" w:eastAsia="微软雅黑" w:cstheme="minorBidi"/>
          <w:b/>
          <w:color w:val="C00000"/>
          <w:kern w:val="2"/>
        </w:rPr>
      </w:pPr>
      <w:r>
        <w:rPr>
          <w:rFonts w:hint="eastAsia" w:ascii="微软雅黑" w:hAnsi="微软雅黑" w:eastAsia="微软雅黑" w:cstheme="minorBidi"/>
          <w:b/>
          <w:color w:val="C00000"/>
          <w:kern w:val="2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126365</wp:posOffset>
            </wp:positionV>
            <wp:extent cx="150495" cy="150495"/>
            <wp:effectExtent l="0" t="0" r="1905" b="1905"/>
            <wp:wrapSquare wrapText="bothSides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theme="minorBidi"/>
          <w:b/>
          <w:color w:val="C00000"/>
          <w:kern w:val="2"/>
        </w:rPr>
        <w:t xml:space="preserve">打印制作要求： </w:t>
      </w:r>
    </w:p>
    <w:p>
      <w:pPr>
        <w:pStyle w:val="11"/>
        <w:spacing w:line="340" w:lineRule="exact"/>
        <w:rPr>
          <w:rFonts w:ascii="微软雅黑" w:hAnsi="微软雅黑" w:eastAsia="微软雅黑"/>
          <w:sz w:val="18"/>
          <w:szCs w:val="18"/>
        </w:rPr>
      </w:pPr>
      <w:r>
        <w:rPr>
          <w:rFonts w:hint="eastAsia" w:ascii="微软雅黑" w:hAnsi="微软雅黑" w:eastAsia="微软雅黑"/>
          <w:sz w:val="18"/>
          <w:szCs w:val="18"/>
        </w:rPr>
        <w:t>制作环境：</w:t>
      </w:r>
      <w:r>
        <w:rPr>
          <w:rFonts w:ascii="微软雅黑" w:hAnsi="微软雅黑" w:eastAsia="微软雅黑" w:cs="Calibri"/>
          <w:sz w:val="18"/>
          <w:szCs w:val="18"/>
        </w:rPr>
        <w:t>INFLEX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产品建议在温度</w:t>
      </w:r>
      <w:r>
        <w:rPr>
          <w:rFonts w:ascii="微软雅黑" w:hAnsi="微软雅黑" w:eastAsia="微软雅黑" w:cs="Calibri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微软雅黑" w:hAnsi="微软雅黑" w:eastAsia="微软雅黑" w:cs="Calibri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5</w:t>
      </w:r>
      <w:r>
        <w:rPr>
          <w:rFonts w:ascii="微软雅黑" w:hAnsi="微软雅黑" w:eastAsia="微软雅黑" w:cs="Calibri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±</w:t>
      </w:r>
      <w:r>
        <w:rPr>
          <w:rFonts w:hint="eastAsia" w:ascii="微软雅黑" w:hAnsi="微软雅黑" w:eastAsia="微软雅黑" w:cs="Calibri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℃，相对湿度为</w:t>
      </w:r>
      <w:r>
        <w:rPr>
          <w:rFonts w:hint="eastAsia" w:ascii="微软雅黑" w:hAnsi="微软雅黑" w:eastAsia="微软雅黑" w:cs="Calibri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50</w:t>
      </w:r>
      <w:r>
        <w:rPr>
          <w:rFonts w:ascii="微软雅黑" w:hAnsi="微软雅黑" w:eastAsia="微软雅黑" w:cs="Calibri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±</w:t>
      </w:r>
      <w:r>
        <w:rPr>
          <w:rFonts w:hint="eastAsia" w:ascii="微软雅黑" w:hAnsi="微软雅黑" w:eastAsia="微软雅黑" w:cs="Calibri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%，洁净无尘、无悬浮物的环境下使用；</w:t>
      </w:r>
      <w:r>
        <w:rPr>
          <w:rFonts w:hint="eastAsia" w:ascii="微软雅黑" w:hAnsi="微软雅黑" w:eastAsia="微软雅黑"/>
          <w:sz w:val="18"/>
          <w:szCs w:val="18"/>
        </w:rPr>
        <w:t>待被裱物喷绘油墨完全干燥后，再进行冷裱等施工操作。</w:t>
      </w:r>
    </w:p>
    <w:p>
      <w:pPr>
        <w:spacing w:line="340" w:lineRule="exact"/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张贴要求：</w:t>
      </w:r>
      <w:r>
        <w:rPr>
          <w:rFonts w:ascii="微软雅黑" w:hAnsi="微软雅黑" w:eastAsia="微软雅黑" w:cs="Calibri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微软雅黑" w:hAnsi="微软雅黑" w:eastAsia="微软雅黑" w:cs="Calibri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0</w:t>
      </w:r>
      <w:r>
        <w:rPr>
          <w:rFonts w:ascii="微软雅黑" w:hAnsi="微软雅黑" w:eastAsia="微软雅黑" w:cs="Calibri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±</w:t>
      </w:r>
      <w:r>
        <w:rPr>
          <w:rFonts w:hint="eastAsia" w:ascii="微软雅黑" w:hAnsi="微软雅黑" w:eastAsia="微软雅黑" w:cs="Calibri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℃，相对湿度为</w:t>
      </w:r>
      <w:r>
        <w:rPr>
          <w:rFonts w:hint="eastAsia" w:ascii="微软雅黑" w:hAnsi="微软雅黑" w:eastAsia="微软雅黑" w:cs="Calibri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50</w:t>
      </w:r>
      <w:r>
        <w:rPr>
          <w:rFonts w:ascii="微软雅黑" w:hAnsi="微软雅黑" w:eastAsia="微软雅黑" w:cs="Calibri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±</w:t>
      </w:r>
      <w:r>
        <w:rPr>
          <w:rFonts w:hint="eastAsia" w:ascii="微软雅黑" w:hAnsi="微软雅黑" w:eastAsia="微软雅黑" w:cs="Calibri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%；粘贴于平整、光滑、洁净、表面无浮尘、表皮无脱落的物体表面，贴合必要养护时间需要2小时以上。</w:t>
      </w:r>
    </w:p>
    <w:p>
      <w:pPr>
        <w:pStyle w:val="11"/>
        <w:rPr>
          <w:rFonts w:ascii="微软雅黑" w:hAnsi="微软雅黑" w:eastAsia="微软雅黑" w:cstheme="minorBidi"/>
          <w:b/>
          <w:color w:val="C00000"/>
          <w:kern w:val="2"/>
        </w:rPr>
      </w:pPr>
      <w:r>
        <w:rPr>
          <w:rFonts w:hint="eastAsia" w:ascii="微软雅黑" w:hAnsi="微软雅黑" w:eastAsia="微软雅黑" w:cstheme="minorBidi"/>
          <w:b/>
          <w:color w:val="C00000"/>
          <w:kern w:val="2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6350</wp:posOffset>
            </wp:positionH>
            <wp:positionV relativeFrom="paragraph">
              <wp:posOffset>128905</wp:posOffset>
            </wp:positionV>
            <wp:extent cx="150495" cy="150495"/>
            <wp:effectExtent l="0" t="0" r="1905" b="1905"/>
            <wp:wrapSquare wrapText="bothSides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theme="minorBidi"/>
          <w:b/>
          <w:color w:val="C00000"/>
          <w:kern w:val="2"/>
        </w:rPr>
        <w:t xml:space="preserve">质保条件： </w:t>
      </w:r>
    </w:p>
    <w:p>
      <w:pP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存储期：在原始的包装中储存期限为一年；</w:t>
      </w:r>
    </w:p>
    <w:p>
      <w:pP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使用期限：自产品生产日期起2年内有效，逾期不接受投诉。</w:t>
      </w:r>
    </w:p>
    <w:p>
      <w:pPr>
        <w:pStyle w:val="11"/>
        <w:rPr>
          <w:rFonts w:ascii="微软雅黑" w:hAnsi="微软雅黑" w:eastAsia="微软雅黑" w:cstheme="minorBidi"/>
          <w:b/>
          <w:color w:val="C00000"/>
          <w:kern w:val="2"/>
        </w:rPr>
      </w:pPr>
      <w:r>
        <w:rPr>
          <w:rFonts w:hint="eastAsia" w:ascii="微软雅黑" w:hAnsi="微软雅黑" w:eastAsia="微软雅黑" w:cstheme="minorBidi"/>
          <w:b/>
          <w:color w:val="C00000"/>
          <w:kern w:val="2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131445</wp:posOffset>
            </wp:positionV>
            <wp:extent cx="150495" cy="150495"/>
            <wp:effectExtent l="0" t="0" r="1905" b="1905"/>
            <wp:wrapSquare wrapText="bothSides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theme="minorBidi"/>
          <w:b/>
          <w:color w:val="C00000"/>
          <w:kern w:val="2"/>
        </w:rPr>
        <w:t xml:space="preserve">重要备注： </w:t>
      </w:r>
    </w:p>
    <w:p>
      <w:pPr>
        <w:rPr>
          <w:rFonts w:ascii="微软雅黑" w:hAnsi="微软雅黑" w:eastAsia="微软雅黑"/>
          <w:sz w:val="18"/>
          <w:szCs w:val="18"/>
        </w:rPr>
      </w:pPr>
      <w:r>
        <w:rPr>
          <w:rFonts w:hint="eastAsia" w:ascii="微软雅黑" w:hAnsi="微软雅黑" w:eastAsia="微软雅黑"/>
          <w:sz w:val="18"/>
          <w:szCs w:val="18"/>
        </w:rPr>
        <w:t>INFLEX所有有关材料的说明、技术信息及应用推荐是基于我们认为可信的典型性测试结果，信息描述的是一个平均值、最小或最大值，且应当考虑仅供参考，不做任何担保。所有INFLEX公司的产品的售出均应由终端客户在最终环境下进行测试，以确认是否符合该使用环境的要求，确定选择购买何种材料。</w:t>
      </w:r>
    </w:p>
    <w:p>
      <w:pPr>
        <w:autoSpaceDE w:val="0"/>
        <w:autoSpaceDN w:val="0"/>
        <w:adjustRightInd w:val="0"/>
        <w:jc w:val="left"/>
        <w:rPr>
          <w:rFonts w:ascii="微软雅黑" w:hAnsi="微软雅黑" w:eastAsia="微软雅黑"/>
          <w:b/>
          <w:color w:val="C00000"/>
        </w:rPr>
      </w:pPr>
      <w:r>
        <w:rPr>
          <w:rFonts w:hint="eastAsia" w:ascii="微软雅黑" w:hAnsi="微软雅黑" w:eastAsia="微软雅黑"/>
          <w:b/>
          <w:color w:val="C00000"/>
          <w:sz w:val="24"/>
          <w:szCs w:val="24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24130</wp:posOffset>
            </wp:positionH>
            <wp:positionV relativeFrom="paragraph">
              <wp:posOffset>151130</wp:posOffset>
            </wp:positionV>
            <wp:extent cx="150495" cy="150495"/>
            <wp:effectExtent l="0" t="0" r="1905" b="1905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/>
          <w:b/>
          <w:color w:val="C00000"/>
          <w:sz w:val="24"/>
          <w:szCs w:val="24"/>
        </w:rPr>
        <w:t>产品应用：</w:t>
      </w:r>
      <w:r>
        <w:rPr>
          <w:rFonts w:hint="eastAsia" w:ascii="微软雅黑" w:hAnsi="微软雅黑" w:eastAsia="微软雅黑"/>
          <w:b/>
          <w:color w:val="C00000"/>
        </w:rPr>
        <w:t xml:space="preserve"> </w:t>
      </w:r>
    </w:p>
    <w:p>
      <w:pPr>
        <w:autoSpaceDE w:val="0"/>
        <w:autoSpaceDN w:val="0"/>
        <w:adjustRightInd w:val="0"/>
        <w:jc w:val="left"/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>
      <w:r>
        <w:drawing>
          <wp:inline distT="0" distB="0" distL="0" distR="0">
            <wp:extent cx="6673850" cy="5008880"/>
            <wp:effectExtent l="0" t="0" r="0" b="127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00926" cy="5029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r:id="rId5" w:type="first"/>
      <w:headerReference r:id="rId3" w:type="default"/>
      <w:footerReference r:id="rId6" w:type="default"/>
      <w:headerReference r:id="rId4" w:type="even"/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drawing>
        <wp:inline distT="0" distB="0" distL="0" distR="0">
          <wp:extent cx="6569710" cy="429260"/>
          <wp:effectExtent l="0" t="0" r="2540" b="8890"/>
          <wp:docPr id="4" name="图片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9809" cy="429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pict>
        <v:shape id="WordPictureWatermark6745906" o:spid="_x0000_s2075" o:spt="75" type="#_x0000_t75" style="position:absolute;left:0pt;height:107.65pt;width:523.15pt;mso-position-horizontal:center;mso-position-horizontal-relative:margin;mso-position-vertical:center;mso-position-vertical-relative:margin;z-index:-251655168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INFLEX-LOGO-01"/>
          <o:lock v:ext="edit" aspectratio="t"/>
        </v:shape>
      </w:pict>
    </w:r>
    <w:r>
      <w:rPr>
        <w:rFonts w:hint="eastAsia"/>
      </w:rPr>
      <w:t xml:space="preserve">  </w:t>
    </w:r>
    <w:r>
      <w:drawing>
        <wp:inline distT="0" distB="0" distL="0" distR="0">
          <wp:extent cx="6592570" cy="78740"/>
          <wp:effectExtent l="0" t="0" r="0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92837" cy="792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pict>
        <v:shape id="WordPictureWatermark6745905" o:spid="_x0000_s2074" o:spt="75" type="#_x0000_t75" style="position:absolute;left:0pt;height:107.65pt;width:523.15pt;mso-position-horizontal:center;mso-position-horizontal-relative:margin;mso-position-vertical:center;mso-position-vertical-relative:margin;z-index:-251656192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INFLEX-LOGO-01"/>
          <o:lock v:ext="edit" aspectratio="t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pict>
        <v:shape id="WordPictureWatermark6745904" o:spid="_x0000_s2073" o:spt="75" type="#_x0000_t75" style="position:absolute;left:0pt;height:107.65pt;width:523.15pt;mso-position-horizontal:center;mso-position-horizontal-relative:margin;mso-position-vertical:center;mso-position-vertical-relative:margin;z-index:-251657216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INFLEX-LOGO-01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RjZTUwMmUwZmJjNDRjZTE4ZjUyNzc3NzViMGVlNzkifQ=="/>
  </w:docVars>
  <w:rsids>
    <w:rsidRoot w:val="00E861FB"/>
    <w:rsid w:val="00003C3B"/>
    <w:rsid w:val="00077EB0"/>
    <w:rsid w:val="000A6FED"/>
    <w:rsid w:val="000E3C3F"/>
    <w:rsid w:val="000F0436"/>
    <w:rsid w:val="000F6DBE"/>
    <w:rsid w:val="00124A3F"/>
    <w:rsid w:val="00157367"/>
    <w:rsid w:val="00171EB9"/>
    <w:rsid w:val="001E5630"/>
    <w:rsid w:val="0021323A"/>
    <w:rsid w:val="002D0123"/>
    <w:rsid w:val="00322832"/>
    <w:rsid w:val="00396D75"/>
    <w:rsid w:val="003B7204"/>
    <w:rsid w:val="003E3B8F"/>
    <w:rsid w:val="00436321"/>
    <w:rsid w:val="00466487"/>
    <w:rsid w:val="00513DB2"/>
    <w:rsid w:val="005F0BF2"/>
    <w:rsid w:val="005F1BBA"/>
    <w:rsid w:val="00606F61"/>
    <w:rsid w:val="00621927"/>
    <w:rsid w:val="00721E27"/>
    <w:rsid w:val="007B752C"/>
    <w:rsid w:val="007E26A4"/>
    <w:rsid w:val="007F1C8F"/>
    <w:rsid w:val="007F6058"/>
    <w:rsid w:val="00806AB9"/>
    <w:rsid w:val="008178E3"/>
    <w:rsid w:val="008201E7"/>
    <w:rsid w:val="00853DAE"/>
    <w:rsid w:val="008872C3"/>
    <w:rsid w:val="008B09D7"/>
    <w:rsid w:val="008E2276"/>
    <w:rsid w:val="008E42A9"/>
    <w:rsid w:val="0090192B"/>
    <w:rsid w:val="00953E43"/>
    <w:rsid w:val="00970BB1"/>
    <w:rsid w:val="009F4618"/>
    <w:rsid w:val="009F6009"/>
    <w:rsid w:val="00AB1E91"/>
    <w:rsid w:val="00AB7425"/>
    <w:rsid w:val="00AF792A"/>
    <w:rsid w:val="00B02D39"/>
    <w:rsid w:val="00B85DDF"/>
    <w:rsid w:val="00BD321A"/>
    <w:rsid w:val="00C10B14"/>
    <w:rsid w:val="00C261BF"/>
    <w:rsid w:val="00C46C6B"/>
    <w:rsid w:val="00C46E52"/>
    <w:rsid w:val="00C8725A"/>
    <w:rsid w:val="00C93254"/>
    <w:rsid w:val="00CB3F6C"/>
    <w:rsid w:val="00CD6E8F"/>
    <w:rsid w:val="00D13ADC"/>
    <w:rsid w:val="00DD5808"/>
    <w:rsid w:val="00E3261A"/>
    <w:rsid w:val="00E67D0D"/>
    <w:rsid w:val="00E861FB"/>
    <w:rsid w:val="00E935FF"/>
    <w:rsid w:val="00EF6676"/>
    <w:rsid w:val="00F5329B"/>
    <w:rsid w:val="00F544A3"/>
    <w:rsid w:val="00F62536"/>
    <w:rsid w:val="00F92B70"/>
    <w:rsid w:val="00FD327B"/>
    <w:rsid w:val="0F68193A"/>
    <w:rsid w:val="64F33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semiHidden/>
    <w:qFormat/>
    <w:uiPriority w:val="99"/>
    <w:rPr>
      <w:sz w:val="18"/>
      <w:szCs w:val="18"/>
    </w:rPr>
  </w:style>
  <w:style w:type="table" w:customStyle="1" w:styleId="10">
    <w:name w:val="浅色底纹1"/>
    <w:basedOn w:val="5"/>
    <w:qFormat/>
    <w:uiPriority w:val="60"/>
    <w:rPr>
      <w:rFonts w:ascii="Times New Roman" w:hAnsi="Times New Roman" w:eastAsia="宋体" w:cs="Times New Roman"/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pPr>
        <w:spacing w:before="0" w:beforeLines="0" w:beforeAutospacing="0" w:after="0" w:afterLines="0" w:afterAutospacing="0" w:line="240" w:lineRule="auto"/>
      </w:pPr>
      <w:rPr>
        <w:b/>
        <w:bCs/>
      </w:rPr>
      <w:tcPr>
        <w:tcBorders>
          <w:top w:val="single" w:color="000000" w:sz="8" w:space="0"/>
          <w:left w:val="nil"/>
          <w:bottom w:val="single" w:color="000000" w:sz="8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b/>
        <w:bCs/>
      </w:rPr>
      <w:tcPr>
        <w:tcBorders>
          <w:top w:val="single" w:color="000000" w:sz="8" w:space="0"/>
          <w:left w:val="nil"/>
          <w:bottom w:val="single" w:color="000000" w:sz="8" w:space="0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0C0C0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0C0C0"/>
      </w:tcPr>
    </w:tblStylePr>
  </w:style>
  <w:style w:type="paragraph" w:customStyle="1" w:styleId="11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75"/>
    <customShpInfo spid="_x0000_s2074"/>
    <customShpInfo spid="_x0000_s2073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74B2698-1B86-45C3-AF79-CB00506DA47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164</Words>
  <Characters>940</Characters>
  <Lines>7</Lines>
  <Paragraphs>2</Paragraphs>
  <TotalTime>0</TotalTime>
  <ScaleCrop>false</ScaleCrop>
  <LinksUpToDate>false</LinksUpToDate>
  <CharactersWithSpaces>1102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2018-10-24T08:40:00Z</dcterms:created>
  <dc:creator>Qin Yu-秦超(NAR)</dc:creator>
  <cp:lastModifiedBy>波波</cp:lastModifiedBy>
  <cp:lastPrinted>2018-08-20T01:40:00Z</cp:lastPrinted>
  <dcterms:modified xsi:type="dcterms:W3CDTF">2023-11-30T02:19:46Z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B735E4D13D904D88BBC5D6AD60D53B36_12</vt:lpwstr>
  </property>
</Properties>
</file>