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8951D">
      <w:pPr>
        <w:spacing w:line="180" w:lineRule="exact"/>
        <w:rPr>
          <w:rFonts w:ascii="Arial" w:hAnsi="Arial" w:cs="Arial"/>
          <w:b/>
          <w:color w:val="005BAC"/>
          <w:sz w:val="36"/>
          <w:szCs w:val="36"/>
        </w:rPr>
      </w:pPr>
      <w:bookmarkStart w:id="6" w:name="_GoBack"/>
      <w:bookmarkEnd w:id="6"/>
    </w:p>
    <w:p w14:paraId="5057E57E">
      <w:pPr>
        <w:spacing w:line="0" w:lineRule="atLeast"/>
        <w:rPr>
          <w:rFonts w:hint="eastAsia" w:ascii="Arial" w:hAnsi="Arial" w:cs="Arial" w:eastAsiaTheme="minorEastAsia"/>
          <w:b/>
          <w:color w:val="C9142A"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color w:val="C9142A"/>
          <w:sz w:val="36"/>
          <w:szCs w:val="36"/>
        </w:rPr>
        <w:t>IO2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3</w:t>
      </w:r>
      <w:r>
        <w:rPr>
          <w:rFonts w:hint="eastAsia" w:ascii="Arial" w:hAnsi="Arial" w:cs="Arial"/>
          <w:b/>
          <w:color w:val="C9142A"/>
          <w:sz w:val="36"/>
          <w:szCs w:val="36"/>
        </w:rPr>
        <w:t>0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6</w:t>
      </w:r>
      <w:r>
        <w:rPr>
          <w:rFonts w:hint="eastAsia" w:ascii="Arial" w:hAnsi="Arial" w:cs="Arial"/>
          <w:b/>
          <w:color w:val="C9142A"/>
          <w:sz w:val="36"/>
          <w:szCs w:val="36"/>
        </w:rPr>
        <w:t>T</w:t>
      </w:r>
      <w:r>
        <w:rPr>
          <w:rFonts w:hint="eastAsia" w:ascii="Arial" w:hAnsi="Arial" w:cs="Arial"/>
          <w:b/>
          <w:color w:val="C9142A"/>
          <w:sz w:val="36"/>
          <w:szCs w:val="36"/>
          <w:lang w:val="en-US" w:eastAsia="zh-CN"/>
        </w:rPr>
        <w:t>P</w:t>
      </w:r>
    </w:p>
    <w:p w14:paraId="4023E8AC">
      <w:pPr>
        <w:spacing w:line="280" w:lineRule="exact"/>
        <w:rPr>
          <w:rFonts w:ascii="微软雅黑" w:hAnsi="微软雅黑" w:eastAsia="微软雅黑" w:cs="Arial"/>
          <w:b/>
          <w:color w:val="C9142A"/>
          <w:sz w:val="24"/>
          <w:szCs w:val="24"/>
        </w:rPr>
      </w:pPr>
      <w:r>
        <w:rPr>
          <w:rFonts w:hint="eastAsia" w:ascii="微软雅黑" w:hAnsi="微软雅黑" w:eastAsia="微软雅黑" w:cs="Arial"/>
          <w:b/>
          <w:color w:val="C9142A"/>
          <w:sz w:val="24"/>
          <w:szCs w:val="24"/>
          <w:lang w:val="en-US" w:eastAsia="zh-CN"/>
        </w:rPr>
        <w:t>全兼容</w:t>
      </w:r>
      <w:r>
        <w:rPr>
          <w:rFonts w:hint="eastAsia" w:ascii="微软雅黑" w:hAnsi="微软雅黑" w:eastAsia="微软雅黑" w:cs="Arial"/>
          <w:b/>
          <w:color w:val="C9142A"/>
          <w:sz w:val="24"/>
          <w:szCs w:val="24"/>
        </w:rPr>
        <w:t>高分子三层单透膜</w:t>
      </w:r>
    </w:p>
    <w:p w14:paraId="31C78BD3">
      <w:pPr>
        <w:spacing w:line="320" w:lineRule="exact"/>
        <w:rPr>
          <w:rFonts w:ascii="微软雅黑" w:hAnsi="微软雅黑" w:eastAsia="微软雅黑" w:cs="Tahoma"/>
          <w:szCs w:val="21"/>
        </w:rPr>
      </w:pPr>
    </w:p>
    <w:p w14:paraId="2C9F1514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143510</wp:posOffset>
            </wp:positionV>
            <wp:extent cx="150495" cy="150495"/>
            <wp:effectExtent l="0" t="0" r="1905" b="190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>产品描述：</w:t>
      </w:r>
    </w:p>
    <w:p w14:paraId="4A4DCF17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面膜：150micron高分子 PVC黑白膜；</w:t>
      </w:r>
    </w:p>
    <w:p w14:paraId="6DDF80D2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胶水：透明胶；</w:t>
      </w:r>
    </w:p>
    <w:p w14:paraId="6438E072">
      <w:pPr>
        <w:rPr>
          <w:rFonts w:hint="default" w:ascii="微软雅黑" w:hAnsi="微软雅黑" w:eastAsia="微软雅黑"/>
          <w:sz w:val="18"/>
          <w:szCs w:val="18"/>
          <w:lang w:val="en-US"/>
        </w:rPr>
      </w:pPr>
      <w:r>
        <w:rPr>
          <w:rFonts w:hint="eastAsia" w:ascii="微软雅黑" w:hAnsi="微软雅黑" w:eastAsia="微软雅黑"/>
          <w:sz w:val="18"/>
          <w:szCs w:val="18"/>
        </w:rPr>
        <w:t>底纸：1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6</w:t>
      </w:r>
      <w:r>
        <w:rPr>
          <w:rFonts w:hint="eastAsia" w:ascii="微软雅黑" w:hAnsi="微软雅黑" w:eastAsia="微软雅黑"/>
          <w:sz w:val="18"/>
          <w:szCs w:val="18"/>
        </w:rPr>
        <w:t>0gsm冲孔纸+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3s透明PET</w:t>
      </w:r>
    </w:p>
    <w:p w14:paraId="07ED966A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宽幅：1.37m</w:t>
      </w:r>
    </w:p>
    <w:p w14:paraId="5C9C857B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140335</wp:posOffset>
            </wp:positionV>
            <wp:extent cx="150495" cy="150495"/>
            <wp:effectExtent l="0" t="0" r="1905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产品特点： </w:t>
      </w:r>
    </w:p>
    <w:p w14:paraId="36C9FFFA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1、单向透视、遮光、保护个人隐私等功能；孔径1.60mm，透光率40%；</w:t>
      </w:r>
    </w:p>
    <w:p w14:paraId="105C1107">
      <w:pPr>
        <w:rPr>
          <w:rFonts w:hint="eastAsia" w:ascii="微软雅黑" w:hAnsi="微软雅黑" w:eastAsia="微软雅黑"/>
          <w:sz w:val="18"/>
          <w:szCs w:val="18"/>
          <w:lang w:val="en-US" w:eastAsia="zh-CN"/>
        </w:rPr>
      </w:pPr>
      <w:bookmarkStart w:id="0" w:name="OLE_LINK5"/>
      <w:bookmarkStart w:id="1" w:name="OLE_LINK1"/>
      <w:bookmarkStart w:id="2" w:name="OLE_LINK2"/>
      <w:bookmarkStart w:id="3" w:name="OLE_LINK6"/>
      <w:bookmarkStart w:id="4" w:name="OLE_LINK3"/>
      <w:bookmarkStart w:id="5" w:name="OLE_LINK4"/>
      <w:r>
        <w:rPr>
          <w:rFonts w:hint="eastAsia" w:ascii="微软雅黑" w:hAnsi="微软雅黑" w:eastAsia="微软雅黑"/>
          <w:sz w:val="18"/>
          <w:szCs w:val="18"/>
        </w:rPr>
        <w:t>2、</w:t>
      </w:r>
      <w:r>
        <w:rPr>
          <w:rFonts w:ascii="微软雅黑" w:hAnsi="微软雅黑" w:eastAsia="微软雅黑"/>
          <w:sz w:val="18"/>
          <w:szCs w:val="18"/>
        </w:rPr>
        <w:t>产品</w:t>
      </w:r>
      <w:r>
        <w:rPr>
          <w:rFonts w:hint="eastAsia" w:ascii="微软雅黑" w:hAnsi="微软雅黑" w:eastAsia="微软雅黑"/>
          <w:sz w:val="18"/>
          <w:szCs w:val="18"/>
        </w:rPr>
        <w:t>使用高分子PVC膜，</w:t>
      </w:r>
      <w:r>
        <w:rPr>
          <w:rFonts w:ascii="微软雅黑" w:hAnsi="微软雅黑" w:eastAsia="微软雅黑"/>
          <w:sz w:val="18"/>
          <w:szCs w:val="18"/>
        </w:rPr>
        <w:t>吸墨稳定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微软雅黑" w:hAnsi="微软雅黑" w:eastAsia="微软雅黑"/>
          <w:sz w:val="18"/>
          <w:szCs w:val="18"/>
        </w:rPr>
        <w:t>，尺寸稳定性高，户外耐候性高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；</w:t>
      </w:r>
    </w:p>
    <w:p w14:paraId="79BF791C">
      <w:pPr>
        <w:rPr>
          <w:rFonts w:hint="default" w:ascii="微软雅黑" w:hAnsi="微软雅黑" w:eastAsia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3、PET底适用多种喷绘机型。</w:t>
      </w:r>
    </w:p>
    <w:p w14:paraId="144A621F">
      <w:pPr>
        <w:autoSpaceDE w:val="0"/>
        <w:autoSpaceDN w:val="0"/>
        <w:adjustRightInd w:val="0"/>
        <w:jc w:val="left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151130</wp:posOffset>
            </wp:positionV>
            <wp:extent cx="150495" cy="150495"/>
            <wp:effectExtent l="0" t="0" r="1905" b="190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2B539556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适用于玻璃应用，同时也可适用于透明亚克力板、PVC、PET透明板等。</w:t>
      </w:r>
    </w:p>
    <w:p w14:paraId="6C52259D">
      <w:pPr>
        <w:rPr>
          <w:rFonts w:ascii="微软雅黑" w:hAnsi="微软雅黑" w:eastAsia="微软雅黑"/>
          <w:sz w:val="18"/>
        </w:rPr>
      </w:pPr>
      <w:r>
        <w:rPr>
          <w:rFonts w:hint="eastAsia" w:ascii="微软雅黑" w:hAnsi="微软雅黑" w:eastAsia="微软雅黑"/>
          <w:sz w:val="18"/>
          <w:szCs w:val="18"/>
        </w:rPr>
        <w:t>本产品适用于溶剂、弱溶剂、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HP Latex、</w:t>
      </w:r>
      <w:r>
        <w:rPr>
          <w:rFonts w:hint="eastAsia" w:ascii="微软雅黑" w:hAnsi="微软雅黑" w:eastAsia="微软雅黑"/>
          <w:sz w:val="18"/>
          <w:szCs w:val="18"/>
        </w:rPr>
        <w:t>UV等喷印方式</w:t>
      </w:r>
      <w:r>
        <w:rPr>
          <w:rFonts w:hint="eastAsia" w:ascii="微软雅黑" w:hAnsi="微软雅黑" w:eastAsia="微软雅黑"/>
          <w:color w:val="000000"/>
          <w:sz w:val="18"/>
        </w:rPr>
        <w:t>。</w:t>
      </w:r>
    </w:p>
    <w:p w14:paraId="5441FFD2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138430</wp:posOffset>
            </wp:positionV>
            <wp:extent cx="150495" cy="150495"/>
            <wp:effectExtent l="0" t="0" r="1905" b="190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技术参数： </w:t>
      </w:r>
    </w:p>
    <w:p w14:paraId="379B9B59">
      <w:pPr>
        <w:tabs>
          <w:tab w:val="left" w:pos="9529"/>
          <w:tab w:val="left" w:pos="9792"/>
          <w:tab w:val="right" w:pos="10466"/>
        </w:tabs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ab/>
      </w:r>
    </w:p>
    <w:tbl>
      <w:tblPr>
        <w:tblStyle w:val="10"/>
        <w:tblW w:w="677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1140"/>
        <w:gridCol w:w="2021"/>
        <w:gridCol w:w="1559"/>
      </w:tblGrid>
      <w:tr w14:paraId="2A7446C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</w:trPr>
        <w:tc>
          <w:tcPr>
            <w:tcW w:w="205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1A2D1524">
            <w:pPr>
              <w:spacing w:before="0" w:beforeLines="0" w:beforeAutospacing="0" w:after="0" w:afterLines="0" w:afterAutospacing="0" w:line="240" w:lineRule="auto"/>
              <w:ind w:firstLine="320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指标</w:t>
            </w:r>
          </w:p>
        </w:tc>
        <w:tc>
          <w:tcPr>
            <w:tcW w:w="1140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0E02BDA5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单位</w:t>
            </w:r>
          </w:p>
        </w:tc>
        <w:tc>
          <w:tcPr>
            <w:tcW w:w="2021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31B0F8EB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测试方法</w:t>
            </w:r>
          </w:p>
        </w:tc>
        <w:tc>
          <w:tcPr>
            <w:tcW w:w="1559" w:type="dxa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  <w:tl2br w:val="nil"/>
              <w:tr2bl w:val="nil"/>
            </w:tcBorders>
          </w:tcPr>
          <w:p w14:paraId="00285ABE">
            <w:pPr>
              <w:spacing w:before="0" w:beforeLines="0" w:beforeAutospacing="0" w:after="0" w:afterLines="0" w:afterAutospacing="0" w:line="240" w:lineRule="auto"/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/>
                <w:bCs/>
                <w:color w:val="000000"/>
                <w:kern w:val="0"/>
                <w:sz w:val="16"/>
                <w:szCs w:val="18"/>
              </w:rPr>
              <w:t>标准</w:t>
            </w:r>
          </w:p>
        </w:tc>
      </w:tr>
      <w:tr w14:paraId="6DBC787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</w:trPr>
        <w:tc>
          <w:tcPr>
            <w:tcW w:w="2051" w:type="dxa"/>
          </w:tcPr>
          <w:p w14:paraId="20CB96DF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PVC 膜厚度</w:t>
            </w:r>
          </w:p>
          <w:p w14:paraId="7EA54E31">
            <w:pPr>
              <w:rPr>
                <w:rFonts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Tahoma" w:hAnsi="Tahoma" w:eastAsia="宋体" w:cs="Tahoma"/>
                <w:b w:val="0"/>
                <w:bCs w:val="0"/>
                <w:color w:val="000000"/>
                <w:kern w:val="0"/>
                <w:sz w:val="16"/>
                <w:szCs w:val="18"/>
              </w:rPr>
              <w:t>底纸克重</w:t>
            </w:r>
          </w:p>
          <w:p w14:paraId="33F7F8F7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成品重量</w:t>
            </w:r>
          </w:p>
          <w:p w14:paraId="2EF05EEE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24h，180°剥离力</w:t>
            </w:r>
          </w:p>
          <w:p w14:paraId="0AE1453F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尺寸稳定性MD</w:t>
            </w:r>
          </w:p>
          <w:p w14:paraId="7E244416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尺寸稳定性CD</w:t>
            </w:r>
          </w:p>
          <w:p w14:paraId="6014E156">
            <w:pPr>
              <w:rPr>
                <w:rFonts w:ascii="Tahoma" w:hAnsi="Tahoma" w:eastAsia="宋体" w:cs="Tahoma"/>
                <w:b/>
                <w:bCs w:val="0"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MD</w:t>
            </w:r>
          </w:p>
          <w:p w14:paraId="4BCA5C1E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拉伸强度 CD</w:t>
            </w:r>
          </w:p>
          <w:p w14:paraId="75B38B36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施工温度</w:t>
            </w:r>
          </w:p>
          <w:p w14:paraId="708A799B">
            <w:pP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 w:val="0"/>
                <w:bCs/>
                <w:color w:val="000000"/>
                <w:kern w:val="0"/>
                <w:sz w:val="16"/>
                <w:szCs w:val="18"/>
              </w:rPr>
              <w:t>适用温度</w:t>
            </w:r>
          </w:p>
        </w:tc>
        <w:tc>
          <w:tcPr>
            <w:tcW w:w="1140" w:type="dxa"/>
          </w:tcPr>
          <w:p w14:paraId="444D028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20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20"/>
              </w:rPr>
              <w:t>Micron</w:t>
            </w:r>
          </w:p>
          <w:p w14:paraId="535F7FF7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60DB2C6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g/m²</w:t>
            </w:r>
          </w:p>
          <w:p w14:paraId="10CFA7DC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N/25mm</w:t>
            </w:r>
          </w:p>
          <w:p w14:paraId="0A5C7F9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0D94D74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mm</w:t>
            </w:r>
          </w:p>
          <w:p w14:paraId="75B41837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2176D682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N/25 mm</w:t>
            </w:r>
          </w:p>
          <w:p w14:paraId="3F3944C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  <w:p w14:paraId="03192571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6"/>
                <w:szCs w:val="18"/>
              </w:rPr>
              <w:t>℃</w:t>
            </w:r>
          </w:p>
        </w:tc>
        <w:tc>
          <w:tcPr>
            <w:tcW w:w="2021" w:type="dxa"/>
          </w:tcPr>
          <w:p w14:paraId="2C0B6640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GB/T6672-2001</w:t>
            </w:r>
          </w:p>
          <w:p w14:paraId="74DDD91A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407E109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GB4669-1995</w:t>
            </w:r>
          </w:p>
          <w:p w14:paraId="4F4A040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</w:t>
            </w:r>
          </w:p>
          <w:p w14:paraId="3EADCDA9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14</w:t>
            </w:r>
          </w:p>
          <w:p w14:paraId="079240A6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FTM</w:t>
            </w:r>
            <w:r>
              <w:rPr>
                <w:rFonts w:hint="eastAsia"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 </w:t>
            </w: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 xml:space="preserve">14   </w:t>
            </w:r>
          </w:p>
          <w:p w14:paraId="629F428E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5127AE0F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  <w:t>GB/T1040.1-2006</w:t>
            </w:r>
          </w:p>
          <w:p w14:paraId="293A92ED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559" w:type="dxa"/>
          </w:tcPr>
          <w:p w14:paraId="43634548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0±10</w:t>
            </w:r>
          </w:p>
          <w:p w14:paraId="5F541FD8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0E7281B4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275</w:t>
            </w: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±20</w:t>
            </w:r>
          </w:p>
          <w:p w14:paraId="5B8C7F1B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5B4E85E0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  <w:p w14:paraId="31B2A9F9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0.4</w:t>
            </w:r>
          </w:p>
          <w:p w14:paraId="430E5201">
            <w:pPr>
              <w:rPr>
                <w:rFonts w:ascii="Tahoma" w:hAnsi="Tahoma" w:eastAsia="宋体" w:cs="Tahoma"/>
                <w:b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  <w:p w14:paraId="58C66B4F">
            <w:pP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  <w:p w14:paraId="597FC2B7">
            <w:pPr>
              <w:rPr>
                <w:rFonts w:ascii="Times New Roman" w:hAnsi="Times New Roman" w:eastAsia="宋体" w:cs="Times New Roman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eastAsia="宋体" w:cs="Calibri"/>
                <w:color w:val="000000" w:themeColor="text1"/>
                <w:kern w:val="0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333E2F03">
            <w:pPr>
              <w:rPr>
                <w:rFonts w:ascii="Tahoma" w:hAnsi="Tahoma" w:eastAsia="宋体" w:cs="Tahoma"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ascii="Tahoma" w:hAnsi="Tahoma" w:eastAsia="宋体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 ~ +70</w:t>
            </w:r>
          </w:p>
        </w:tc>
      </w:tr>
    </w:tbl>
    <w:p w14:paraId="498BEA8C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ab/>
      </w: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24690812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125095</wp:posOffset>
            </wp:positionV>
            <wp:extent cx="150495" cy="150495"/>
            <wp:effectExtent l="0" t="0" r="1905" b="190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仓储条件：</w:t>
      </w:r>
      <w:r>
        <w:rPr>
          <w:rFonts w:hint="eastAsia" w:ascii="微软雅黑" w:hAnsi="微软雅黑" w:eastAsia="微软雅黑"/>
          <w:b/>
          <w:color w:val="C00000"/>
        </w:rPr>
        <w:t xml:space="preserve"> </w:t>
      </w:r>
    </w:p>
    <w:p w14:paraId="4C24687B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所有INFLEX的产品需储放在原始包装中用原始的保护材料，建议密封保存，水平放置，叠放层高不宜超过6层，避免阳光直射、热源直接接触。仓储温度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5℃、相对湿度50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15%。在这种条件下，该产品储存期是18个月。</w:t>
      </w:r>
    </w:p>
    <w:p w14:paraId="07E1E4CA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126365</wp:posOffset>
            </wp:positionV>
            <wp:extent cx="150495" cy="150495"/>
            <wp:effectExtent l="0" t="0" r="1905" b="1905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打印制作要求： </w:t>
      </w:r>
    </w:p>
    <w:p w14:paraId="6E9B9692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制作环境：</w:t>
      </w:r>
      <w:r>
        <w:rPr>
          <w:rFonts w:ascii="微软雅黑" w:hAnsi="微软雅黑" w:eastAsia="微软雅黑"/>
          <w:sz w:val="18"/>
          <w:szCs w:val="18"/>
        </w:rPr>
        <w:t>INFLEX</w:t>
      </w:r>
      <w:r>
        <w:rPr>
          <w:rFonts w:hint="eastAsia" w:ascii="微软雅黑" w:hAnsi="微软雅黑" w:eastAsia="微软雅黑"/>
          <w:sz w:val="18"/>
          <w:szCs w:val="18"/>
        </w:rPr>
        <w:t>产品建议在温度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5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5℃，相对湿度为50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10%，洁净无尘、无悬浮物的环境下使用；建议产品需提前24h从仓储环境转移至喷绘环境；墨水因匹配的设备不同，所以使用前请先测试；建议喷绘时需要留足够白边空隙。</w:t>
      </w:r>
    </w:p>
    <w:p w14:paraId="561532EF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张贴要求：</w:t>
      </w:r>
      <w:r>
        <w:rPr>
          <w:rFonts w:ascii="微软雅黑" w:hAnsi="微软雅黑" w:eastAsia="微软雅黑"/>
          <w:sz w:val="18"/>
          <w:szCs w:val="18"/>
        </w:rPr>
        <w:t>2</w:t>
      </w:r>
      <w:r>
        <w:rPr>
          <w:rFonts w:hint="eastAsia" w:ascii="微软雅黑" w:hAnsi="微软雅黑" w:eastAsia="微软雅黑"/>
          <w:sz w:val="18"/>
          <w:szCs w:val="18"/>
        </w:rPr>
        <w:t>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10℃，相对湿度为50</w:t>
      </w:r>
      <w:r>
        <w:rPr>
          <w:rFonts w:ascii="微软雅黑" w:hAnsi="微软雅黑" w:eastAsia="微软雅黑"/>
          <w:sz w:val="18"/>
          <w:szCs w:val="18"/>
        </w:rPr>
        <w:t>±</w:t>
      </w:r>
      <w:r>
        <w:rPr>
          <w:rFonts w:hint="eastAsia" w:ascii="微软雅黑" w:hAnsi="微软雅黑" w:eastAsia="微软雅黑"/>
          <w:sz w:val="18"/>
          <w:szCs w:val="18"/>
        </w:rPr>
        <w:t>10%；粘贴于平整、光滑、洁净、表面无浮尘、表皮无脱落的物体表面，贴合必要养护时间需要2小时以上。</w:t>
      </w:r>
    </w:p>
    <w:p w14:paraId="6C8C0662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128905</wp:posOffset>
            </wp:positionV>
            <wp:extent cx="150495" cy="150495"/>
            <wp:effectExtent l="0" t="0" r="1905" b="1905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质保条件： </w:t>
      </w:r>
    </w:p>
    <w:p w14:paraId="0CC9898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存储期：在原始的包装中储存期限为18个月；</w:t>
      </w:r>
    </w:p>
    <w:p w14:paraId="25B0C775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使用期限：未打印画面，自产品生产日期起三年内有效，逾期不接受投诉。</w:t>
      </w:r>
    </w:p>
    <w:p w14:paraId="43C9B462">
      <w:pPr>
        <w:pStyle w:val="11"/>
        <w:rPr>
          <w:rFonts w:ascii="微软雅黑" w:hAnsi="微软雅黑" w:eastAsia="微软雅黑" w:cstheme="minorBidi"/>
          <w:b/>
          <w:color w:val="C00000"/>
          <w:kern w:val="2"/>
        </w:rPr>
      </w:pPr>
      <w:r>
        <w:rPr>
          <w:rFonts w:hint="eastAsia" w:ascii="微软雅黑" w:hAnsi="微软雅黑" w:eastAsia="微软雅黑" w:cstheme="minorBidi"/>
          <w:b/>
          <w:color w:val="C00000"/>
          <w:kern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131445</wp:posOffset>
            </wp:positionV>
            <wp:extent cx="150495" cy="150495"/>
            <wp:effectExtent l="0" t="0" r="190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theme="minorBidi"/>
          <w:b/>
          <w:color w:val="C00000"/>
          <w:kern w:val="2"/>
        </w:rPr>
        <w:t xml:space="preserve">重要备注： </w:t>
      </w:r>
    </w:p>
    <w:p w14:paraId="13080D68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INFLEX所有有关材料的说明、技术信息及应用推荐是基于我们认为可信的典型性测试结果，不同国家、地区环境湿度高于70%以上喷绘打印效果有所下降。</w:t>
      </w:r>
    </w:p>
    <w:p w14:paraId="5226CB23"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120650</wp:posOffset>
            </wp:positionV>
            <wp:extent cx="150495" cy="150495"/>
            <wp:effectExtent l="0" t="0" r="190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C00000"/>
          <w:sz w:val="24"/>
          <w:szCs w:val="24"/>
        </w:rPr>
        <w:t>产品应用：</w:t>
      </w:r>
    </w:p>
    <w:p w14:paraId="0834B093"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※玻璃屏幕装饰：</w:t>
      </w:r>
    </w:p>
    <w:p w14:paraId="00905A58">
      <w:pPr>
        <w:jc w:val="left"/>
      </w:pPr>
      <w:r>
        <w:rPr>
          <w:rFonts w:hint="eastAsia"/>
        </w:rPr>
        <w:drawing>
          <wp:inline distT="0" distB="0" distL="0" distR="0">
            <wp:extent cx="4752975" cy="3371850"/>
            <wp:effectExtent l="4763" t="0" r="0" b="0"/>
            <wp:docPr id="4" name="图片 4" descr="C:\Users\N2098\Desktop\白皮书应用图片 - 副本\玻璃装饰应用\单透膜\IMG_20190909_13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N2098\Desktop\白皮书应用图片 - 副本\玻璃装饰应用\单透膜\IMG_20190909_132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529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0" distR="0">
            <wp:extent cx="4772025" cy="3113405"/>
            <wp:effectExtent l="0" t="8890" r="635" b="635"/>
            <wp:docPr id="5" name="图片 5" descr="C:\Users\N2098\Desktop\白皮书应用图片 - 副本\玻璃装饰应用\单透膜\IMG_20190909_13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N2098\Desktop\白皮书应用图片 - 副本\玻璃装饰应用\单透膜\IMG_20190909_132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04819" cy="313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908D4">
    <w:pPr>
      <w:pStyle w:val="3"/>
    </w:pPr>
    <w:r>
      <w:drawing>
        <wp:inline distT="0" distB="0" distL="0" distR="0">
          <wp:extent cx="6592570" cy="53594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536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87387">
    <w:pPr>
      <w:pStyle w:val="4"/>
    </w:pPr>
    <w:r>
      <w:pict>
        <v:shape id="WordPictureWatermark6745906" o:spid="_x0000_s2075" o:spt="75" type="#_x0000_t75" style="position:absolute;left:0pt;height:107.65pt;width:523.1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  <w:r>
      <w:rPr>
        <w:rFonts w:hint="eastAsia"/>
      </w:rPr>
      <w:t xml:space="preserve">  </w:t>
    </w:r>
    <w:r>
      <w:drawing>
        <wp:inline distT="0" distB="0" distL="0" distR="0">
          <wp:extent cx="6592570" cy="787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79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BD560">
    <w:pPr>
      <w:pStyle w:val="4"/>
    </w:pPr>
    <w:r>
      <w:pict>
        <v:shape id="WordPictureWatermark6745905" o:spid="_x0000_s2074" o:spt="75" type="#_x0000_t75" style="position:absolute;left:0pt;height:107.65pt;width:523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A848F">
    <w:pPr>
      <w:pStyle w:val="4"/>
    </w:pPr>
    <w:r>
      <w:pict>
        <v:shape id="WordPictureWatermark6745904" o:spid="_x0000_s2073" o:spt="75" type="#_x0000_t75" style="position:absolute;left:0pt;height:107.65pt;width:523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INFLEX-LOGO-0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FB"/>
    <w:rsid w:val="000917B4"/>
    <w:rsid w:val="000E3C3F"/>
    <w:rsid w:val="000F0436"/>
    <w:rsid w:val="00105EF0"/>
    <w:rsid w:val="001100B0"/>
    <w:rsid w:val="00157367"/>
    <w:rsid w:val="00171EB9"/>
    <w:rsid w:val="0021323A"/>
    <w:rsid w:val="00322832"/>
    <w:rsid w:val="003808FB"/>
    <w:rsid w:val="00396D75"/>
    <w:rsid w:val="003C4F65"/>
    <w:rsid w:val="003E3B8F"/>
    <w:rsid w:val="00466487"/>
    <w:rsid w:val="004868A2"/>
    <w:rsid w:val="004D482B"/>
    <w:rsid w:val="00513DB2"/>
    <w:rsid w:val="005331BE"/>
    <w:rsid w:val="005B066E"/>
    <w:rsid w:val="005F0BF2"/>
    <w:rsid w:val="00621927"/>
    <w:rsid w:val="006824D3"/>
    <w:rsid w:val="007219C4"/>
    <w:rsid w:val="007F1C8F"/>
    <w:rsid w:val="007F6058"/>
    <w:rsid w:val="00814F28"/>
    <w:rsid w:val="008201E7"/>
    <w:rsid w:val="008872C3"/>
    <w:rsid w:val="008A5B02"/>
    <w:rsid w:val="008B09D7"/>
    <w:rsid w:val="008E05B9"/>
    <w:rsid w:val="008E2276"/>
    <w:rsid w:val="00953E43"/>
    <w:rsid w:val="00972523"/>
    <w:rsid w:val="00A47F70"/>
    <w:rsid w:val="00AB1E91"/>
    <w:rsid w:val="00AB5B7D"/>
    <w:rsid w:val="00AB7425"/>
    <w:rsid w:val="00AF3759"/>
    <w:rsid w:val="00AF792A"/>
    <w:rsid w:val="00B02D39"/>
    <w:rsid w:val="00B44AD6"/>
    <w:rsid w:val="00B71944"/>
    <w:rsid w:val="00B85DDF"/>
    <w:rsid w:val="00BD321A"/>
    <w:rsid w:val="00C261BF"/>
    <w:rsid w:val="00C46C6B"/>
    <w:rsid w:val="00C46E52"/>
    <w:rsid w:val="00C528F5"/>
    <w:rsid w:val="00CB3F6C"/>
    <w:rsid w:val="00D13ADC"/>
    <w:rsid w:val="00DD5808"/>
    <w:rsid w:val="00DE692B"/>
    <w:rsid w:val="00DE768F"/>
    <w:rsid w:val="00E67D0D"/>
    <w:rsid w:val="00E861FB"/>
    <w:rsid w:val="00EF574C"/>
    <w:rsid w:val="00EF6676"/>
    <w:rsid w:val="00F5329B"/>
    <w:rsid w:val="00F92B70"/>
    <w:rsid w:val="00FA37C3"/>
    <w:rsid w:val="00FD327B"/>
    <w:rsid w:val="05C828A4"/>
    <w:rsid w:val="0F890739"/>
    <w:rsid w:val="35924D88"/>
    <w:rsid w:val="3BA22BF5"/>
    <w:rsid w:val="3C481AC9"/>
    <w:rsid w:val="498C15AA"/>
    <w:rsid w:val="5FD37EBC"/>
    <w:rsid w:val="610C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75"/>
    <customShpInfo spid="_x0000_s2074"/>
    <customShpInfo spid="_x0000_s2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1759F9-F302-4B79-B4B3-B09F055F5F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752</Words>
  <Characters>979</Characters>
  <Lines>7</Lines>
  <Paragraphs>2</Paragraphs>
  <TotalTime>0</TotalTime>
  <ScaleCrop>false</ScaleCrop>
  <LinksUpToDate>false</LinksUpToDate>
  <CharactersWithSpaces>1007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2018-10-16T05:51:00Z</dcterms:created>
  <dc:creator>Qin Yu-秦超(NAR)</dc:creator>
  <cp:lastModifiedBy>006152</cp:lastModifiedBy>
  <cp:lastPrinted>2018-08-20T01:40:00Z</cp:lastPrinted>
  <dcterms:modified xsi:type="dcterms:W3CDTF">2025-07-04T08:11:20Z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1999A5992F064C9D96AABFFCE9E38E6A_13</vt:lpwstr>
  </property>
</Properties>
</file>