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ascii="Arial" w:hAnsi="Arial" w:cs="Arial"/>
          <w:b/>
          <w:color w:val="005BAC"/>
          <w:sz w:val="36"/>
          <w:szCs w:val="36"/>
        </w:rPr>
      </w:pPr>
    </w:p>
    <w:p>
      <w:pPr>
        <w:spacing w:line="0" w:lineRule="atLeast"/>
        <w:rPr>
          <w:rFonts w:ascii="Arial" w:hAnsi="Arial" w:cs="Arial"/>
          <w:b/>
          <w:color w:val="C9142A"/>
          <w:sz w:val="36"/>
          <w:szCs w:val="36"/>
        </w:rPr>
      </w:pPr>
      <w:r>
        <w:rPr>
          <w:rFonts w:hint="eastAsia" w:ascii="Arial" w:hAnsi="Arial" w:cs="Arial"/>
          <w:b/>
          <w:color w:val="C9142A"/>
          <w:sz w:val="36"/>
          <w:szCs w:val="36"/>
        </w:rPr>
        <w:t>INJET6</w:t>
      </w:r>
      <w:r>
        <w:rPr>
          <w:rFonts w:hint="eastAsia" w:ascii="Arial" w:hAnsi="Arial" w:cs="Arial"/>
          <w:b/>
          <w:color w:val="C9142A"/>
          <w:sz w:val="36"/>
          <w:szCs w:val="36"/>
          <w:lang w:val="en-US" w:eastAsia="zh-CN"/>
        </w:rPr>
        <w:t>5</w:t>
      </w:r>
      <w:r>
        <w:rPr>
          <w:rFonts w:hint="eastAsia" w:ascii="Arial" w:hAnsi="Arial" w:cs="Arial"/>
          <w:b/>
          <w:color w:val="C9142A"/>
          <w:sz w:val="36"/>
          <w:szCs w:val="36"/>
        </w:rPr>
        <w:t>00G</w:t>
      </w:r>
    </w:p>
    <w:p>
      <w:pPr>
        <w:spacing w:line="320" w:lineRule="exact"/>
        <w:rPr>
          <w:rFonts w:ascii="微软雅黑" w:hAnsi="微软雅黑" w:eastAsia="微软雅黑" w:cs="Arial"/>
          <w:b/>
          <w:color w:val="C9142A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C9142A"/>
          <w:sz w:val="24"/>
          <w:szCs w:val="24"/>
        </w:rPr>
        <w:t>高显色瓷白</w:t>
      </w:r>
      <w:r>
        <w:rPr>
          <w:rFonts w:hint="eastAsia" w:ascii="微软雅黑" w:hAnsi="微软雅黑" w:eastAsia="微软雅黑" w:cs="Arial"/>
          <w:b/>
          <w:color w:val="C9142A"/>
          <w:sz w:val="24"/>
          <w:szCs w:val="24"/>
          <w:lang w:val="en-US" w:eastAsia="zh-CN"/>
        </w:rPr>
        <w:t>可移灰胶</w:t>
      </w:r>
      <w:r>
        <w:rPr>
          <w:rFonts w:hint="eastAsia" w:ascii="微软雅黑" w:hAnsi="微软雅黑" w:eastAsia="微软雅黑" w:cs="Arial"/>
          <w:b/>
          <w:color w:val="C9142A"/>
          <w:sz w:val="24"/>
          <w:szCs w:val="24"/>
        </w:rPr>
        <w:t>车身贴</w:t>
      </w:r>
    </w:p>
    <w:p>
      <w:pPr>
        <w:spacing w:line="320" w:lineRule="exact"/>
        <w:rPr>
          <w:rFonts w:hint="eastAsia" w:ascii="Tahoma" w:hAnsi="Tahoma" w:cs="Tahoma"/>
          <w:szCs w:val="21"/>
        </w:rPr>
      </w:pP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150495" cy="150495"/>
            <wp:effectExtent l="0" t="0" r="1905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>产品描述：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面膜：</w:t>
      </w:r>
      <w:r>
        <w:rPr>
          <w:rFonts w:hint="eastAsia" w:ascii="微软雅黑" w:hAnsi="微软雅黑" w:eastAsia="微软雅黑"/>
          <w:sz w:val="18"/>
          <w:lang w:val="en-US" w:eastAsia="zh-CN"/>
        </w:rPr>
        <w:t>100</w:t>
      </w:r>
      <w:r>
        <w:rPr>
          <w:rFonts w:hint="eastAsia" w:ascii="微软雅黑" w:hAnsi="微软雅黑" w:eastAsia="微软雅黑"/>
          <w:sz w:val="18"/>
        </w:rPr>
        <w:t xml:space="preserve">micron </w:t>
      </w:r>
      <w:r>
        <w:rPr>
          <w:rFonts w:hint="eastAsia" w:ascii="微软雅黑" w:hAnsi="微软雅黑" w:eastAsia="微软雅黑"/>
          <w:sz w:val="18"/>
          <w:lang w:val="en-US" w:eastAsia="zh-CN"/>
        </w:rPr>
        <w:t>瓷白</w:t>
      </w:r>
      <w:r>
        <w:rPr>
          <w:rFonts w:hint="eastAsia" w:ascii="微软雅黑" w:hAnsi="微软雅黑" w:eastAsia="微软雅黑"/>
          <w:sz w:val="18"/>
        </w:rPr>
        <w:t>PVC光膜；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胶水：</w:t>
      </w:r>
      <w:r>
        <w:rPr>
          <w:rFonts w:hint="eastAsia" w:ascii="微软雅黑" w:hAnsi="微软雅黑" w:eastAsia="微软雅黑"/>
          <w:color w:val="000000" w:themeColor="text1"/>
          <w:sz w:val="18"/>
          <w:lang w:val="en-US" w:eastAsia="zh-CN"/>
          <w14:textFill>
            <w14:solidFill>
              <w14:schemeClr w14:val="tx1"/>
            </w14:solidFill>
          </w14:textFill>
        </w:rPr>
        <w:t>可移灰胶</w:t>
      </w:r>
      <w:r>
        <w:rPr>
          <w:rFonts w:hint="eastAsia" w:ascii="微软雅黑" w:hAnsi="微软雅黑" w:eastAsia="微软雅黑"/>
          <w:color w:val="000000" w:themeColor="text1"/>
          <w:sz w:val="18"/>
          <w14:textFill>
            <w14:solidFill>
              <w14:schemeClr w14:val="tx1"/>
            </w14:solidFill>
          </w14:textFill>
        </w:rPr>
        <w:t>；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底纸：1</w:t>
      </w:r>
      <w:r>
        <w:rPr>
          <w:rFonts w:hint="eastAsia" w:ascii="微软雅黑" w:hAnsi="微软雅黑" w:eastAsia="微软雅黑"/>
          <w:sz w:val="18"/>
          <w:lang w:val="en-US" w:eastAsia="zh-CN"/>
        </w:rPr>
        <w:t>2</w:t>
      </w:r>
      <w:r>
        <w:rPr>
          <w:rFonts w:hint="eastAsia" w:ascii="微软雅黑" w:hAnsi="微软雅黑" w:eastAsia="微软雅黑"/>
          <w:sz w:val="18"/>
        </w:rPr>
        <w:t>0gsm</w:t>
      </w:r>
      <w:r>
        <w:rPr>
          <w:rFonts w:hint="eastAsia" w:ascii="微软雅黑" w:hAnsi="微软雅黑" w:eastAsia="微软雅黑"/>
          <w:sz w:val="18"/>
          <w:lang w:val="en-US" w:eastAsia="zh-CN"/>
        </w:rPr>
        <w:t xml:space="preserve">  CCK</w:t>
      </w:r>
      <w:r>
        <w:rPr>
          <w:rFonts w:hint="eastAsia" w:ascii="微软雅黑" w:hAnsi="微软雅黑" w:eastAsia="微软雅黑"/>
          <w:sz w:val="18"/>
        </w:rPr>
        <w:t>硅纸</w:t>
      </w:r>
    </w:p>
    <w:p>
      <w:pPr>
        <w:rPr>
          <w:rFonts w:ascii="微软雅黑" w:hAnsi="微软雅黑" w:eastAsia="微软雅黑"/>
          <w:color w:val="000000" w:themeColor="text1"/>
          <w:sz w:val="20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sz w:val="18"/>
        </w:rPr>
        <w:t>宽幅：1.06/1.27/1.37/1.52m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50495" cy="150495"/>
            <wp:effectExtent l="0" t="0" r="1905" b="190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产品特点： 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 w:cs="Tahoma"/>
          <w:kern w:val="0"/>
          <w:sz w:val="18"/>
          <w:szCs w:val="16"/>
        </w:rPr>
        <w:t>1、产品高显色性，色彩还原度高，面膜颜色适合欧洲风格；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Tahoma"/>
          <w:kern w:val="0"/>
          <w:sz w:val="18"/>
          <w:szCs w:val="16"/>
        </w:rPr>
      </w:pPr>
      <w:bookmarkStart w:id="0" w:name="OLE_LINK3"/>
      <w:bookmarkStart w:id="1" w:name="OLE_LINK5"/>
      <w:bookmarkStart w:id="2" w:name="OLE_LINK4"/>
      <w:bookmarkStart w:id="3" w:name="OLE_LINK1"/>
      <w:bookmarkStart w:id="4" w:name="OLE_LINK2"/>
      <w:bookmarkStart w:id="5" w:name="OLE_LINK6"/>
      <w:r>
        <w:rPr>
          <w:rFonts w:hint="eastAsia" w:ascii="微软雅黑" w:hAnsi="微软雅黑" w:eastAsia="微软雅黑" w:cs="Tahoma"/>
          <w:kern w:val="0"/>
          <w:sz w:val="18"/>
          <w:szCs w:val="16"/>
        </w:rPr>
        <w:t>2、</w:t>
      </w:r>
      <w:r>
        <w:rPr>
          <w:rFonts w:ascii="微软雅黑" w:hAnsi="微软雅黑" w:eastAsia="微软雅黑" w:cs="Tahoma"/>
          <w:kern w:val="0"/>
          <w:sz w:val="18"/>
          <w:szCs w:val="16"/>
        </w:rPr>
        <w:t>产品吸墨稳定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微软雅黑" w:hAnsi="微软雅黑" w:eastAsia="微软雅黑" w:cs="Tahoma"/>
          <w:kern w:val="0"/>
          <w:sz w:val="18"/>
          <w:szCs w:val="16"/>
        </w:rPr>
        <w:t>，耐候性好，尺寸稳定性好；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kern w:val="0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高岭土涂布纸、防水、防潮，打印不起供</w:t>
      </w:r>
      <w:r>
        <w:rPr>
          <w:rFonts w:hint="eastAsia" w:ascii="微软雅黑" w:hAnsi="微软雅黑" w:eastAsia="微软雅黑" w:cs="Tahoma"/>
          <w:kern w:val="0"/>
          <w:sz w:val="18"/>
          <w:szCs w:val="16"/>
        </w:rPr>
        <w:t>。</w:t>
      </w:r>
    </w:p>
    <w:p>
      <w:pPr>
        <w:pStyle w:val="12"/>
        <w:numPr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遮盖率达到90%以上，有效遮覆被贴物颜色；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kern w:val="0"/>
          <w:sz w:val="18"/>
          <w:szCs w:val="16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151130</wp:posOffset>
            </wp:positionV>
            <wp:extent cx="150495" cy="150495"/>
            <wp:effectExtent l="0" t="0" r="1905" b="190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适用于车身广告及装饰、板材应用、室内及室外广告。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本产品适用于各种溶剂型、弱溶剂型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UV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墨水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和HP Latex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喷印方式。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150495" cy="150495"/>
            <wp:effectExtent l="0" t="0" r="1905" b="190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技术参数： </w:t>
      </w:r>
    </w:p>
    <w:p>
      <w:pPr>
        <w:tabs>
          <w:tab w:val="left" w:pos="9529"/>
          <w:tab w:val="left" w:pos="9792"/>
          <w:tab w:val="right" w:pos="10466"/>
        </w:tabs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tbl>
      <w:tblPr>
        <w:tblStyle w:val="10"/>
        <w:tblW w:w="6866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157"/>
        <w:gridCol w:w="2050"/>
        <w:gridCol w:w="1580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ind w:firstLine="320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指标</w:t>
            </w:r>
          </w:p>
        </w:tc>
        <w:tc>
          <w:tcPr>
            <w:tcW w:w="115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单位</w:t>
            </w:r>
          </w:p>
        </w:tc>
        <w:tc>
          <w:tcPr>
            <w:tcW w:w="205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测试方法</w:t>
            </w:r>
          </w:p>
        </w:tc>
        <w:tc>
          <w:tcPr>
            <w:tcW w:w="1580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 w:val="0"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</w:rPr>
              <w:t>标准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207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PVC 膜厚度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底纸克重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成品重量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光泽度 60°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初粘力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24h，180°剥离力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尺寸稳定性CD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拉伸强度 CD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施工温度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适用温度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125095</wp:posOffset>
            </wp:positionV>
            <wp:extent cx="150495" cy="150495"/>
            <wp:effectExtent l="0" t="0" r="1905" b="190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仓储条件：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的产品需储放在原始包装中用原始的保护材料，建议密封保存，水平放置，叠放层高不宜超过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层，避免阳光直射、热源直接接触。仓储温度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50±15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。在这种条件下，该产品储存期是12个月。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50495" cy="150495"/>
            <wp:effectExtent l="0" t="0" r="1905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打印制作要求： </w:t>
      </w:r>
    </w:p>
    <w:p>
      <w:pPr>
        <w:pStyle w:val="11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制作环境：</w:t>
      </w:r>
      <w:r>
        <w:rPr>
          <w:rFonts w:hint="eastAsia" w:ascii="微软雅黑" w:hAnsi="微软雅黑" w:eastAsia="微软雅黑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INFLEX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产品建议在温度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25±5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%，洁净无尘、无悬浮物的环境下使用；建议产品需提前24h从仓储环境转移至喷绘环境。墨水因匹配的设备不同，所以使用前请先测试；建议喷绘时需要留足够白边空隙。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张贴要求：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20±10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℃，相对湿度为</w:t>
      </w:r>
      <w:r>
        <w:rPr>
          <w:rFonts w:ascii="微软雅黑" w:hAnsi="微软雅黑" w:eastAsia="微软雅黑" w:cs="Calibr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50±10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；粘贴于平整、光滑、洁净、表面无浮尘、表皮无脱落的物体表面，贴合必要养护时间需要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小时以上。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128905</wp:posOffset>
            </wp:positionV>
            <wp:extent cx="150495" cy="150495"/>
            <wp:effectExtent l="0" t="0" r="1905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质保条件：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存储期：在原始的包装中储存期限为1年；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使用期限：未打印画面，自产品生产日期起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年内有效，逾期不接受投诉。</w:t>
      </w:r>
    </w:p>
    <w:p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131445</wp:posOffset>
            </wp:positionV>
            <wp:extent cx="150495" cy="150495"/>
            <wp:effectExtent l="0" t="0" r="190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重要备注： </w:t>
      </w:r>
    </w:p>
    <w:p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INFLEX所有有关材料的说明、技术信息及应用推荐是基于我们认为可信的典型性测试结果，</w:t>
      </w:r>
      <w:bookmarkStart w:id="6" w:name="OLE_LINK14"/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不同国家、地区环境湿度高于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以上喷绘打印效果有所下降。</w:t>
      </w:r>
      <w:bookmarkEnd w:id="6"/>
    </w:p>
    <w:p>
      <w:pPr>
        <w:autoSpaceDE w:val="0"/>
        <w:autoSpaceDN w:val="0"/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z w:val="18"/>
          <w:szCs w:val="16"/>
          <w14:textFill>
            <w14:solidFill>
              <w14:schemeClr w14:val="tx1"/>
            </w14:solidFill>
          </w14:textFill>
        </w:rPr>
        <w:t>本产品为可移除胶产品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，不同背贴介质和户外张贴时间的长短会有残胶的风险。不同批次产品不建议拼接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C0000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120650</wp:posOffset>
            </wp:positionV>
            <wp:extent cx="150495" cy="150495"/>
            <wp:effectExtent l="0" t="0" r="19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  <w:bookmarkStart w:id="7" w:name="_GoBack"/>
      <w:bookmarkEnd w:id="7"/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75425" cy="429260"/>
          <wp:effectExtent l="0" t="0" r="0" b="8890"/>
          <wp:docPr id="2" name="图片 2" descr="C:\Users\N2098\Desktop\4e682e7c5336c4ccabb588c6d73406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N2098\Desktop\4e682e7c5336c4ccabb588c6d73406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542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6" o:spid="_x0000_s2075" o:spt="75" type="#_x0000_t75" style="position:absolute;left:0pt;height:107.65pt;width:523.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  <w:r>
      <w:rPr>
        <w:rFonts w:hint="eastAsia"/>
      </w:rPr>
      <w:t xml:space="preserve">  </w:t>
    </w:r>
    <w:r>
      <w:drawing>
        <wp:inline distT="0" distB="0" distL="0" distR="0">
          <wp:extent cx="6592570" cy="787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5" o:spid="_x0000_s2074" o:spt="75" type="#_x0000_t75" style="position:absolute;left:0pt;height:107.65pt;width:523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745904" o:spid="_x0000_s2073" o:spt="75" type="#_x0000_t75" style="position:absolute;left:0pt;height:107.65pt;width:523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TUwMmUwZmJjNDRjZTE4ZjUyNzc3NzViMGVlNzkifQ=="/>
  </w:docVars>
  <w:rsids>
    <w:rsidRoot w:val="00E861FB"/>
    <w:rsid w:val="000017CA"/>
    <w:rsid w:val="00086ED7"/>
    <w:rsid w:val="000E2AA6"/>
    <w:rsid w:val="000E3C3F"/>
    <w:rsid w:val="000F0436"/>
    <w:rsid w:val="0011184F"/>
    <w:rsid w:val="00157367"/>
    <w:rsid w:val="00171EB9"/>
    <w:rsid w:val="00190B31"/>
    <w:rsid w:val="0021323A"/>
    <w:rsid w:val="00322832"/>
    <w:rsid w:val="00396D75"/>
    <w:rsid w:val="003A20C0"/>
    <w:rsid w:val="003A4E31"/>
    <w:rsid w:val="003E3B8F"/>
    <w:rsid w:val="00466487"/>
    <w:rsid w:val="00470DA9"/>
    <w:rsid w:val="004A16C2"/>
    <w:rsid w:val="00513DB2"/>
    <w:rsid w:val="005D09AA"/>
    <w:rsid w:val="005F0BF2"/>
    <w:rsid w:val="00606373"/>
    <w:rsid w:val="006113DB"/>
    <w:rsid w:val="00621927"/>
    <w:rsid w:val="006F5DCE"/>
    <w:rsid w:val="007763FD"/>
    <w:rsid w:val="007E72E9"/>
    <w:rsid w:val="007F1C8F"/>
    <w:rsid w:val="007F6058"/>
    <w:rsid w:val="00816DD7"/>
    <w:rsid w:val="008201E7"/>
    <w:rsid w:val="008872C3"/>
    <w:rsid w:val="008A5C0F"/>
    <w:rsid w:val="008B09D7"/>
    <w:rsid w:val="008C011F"/>
    <w:rsid w:val="008C5602"/>
    <w:rsid w:val="008E2276"/>
    <w:rsid w:val="00947073"/>
    <w:rsid w:val="00953E43"/>
    <w:rsid w:val="00AB1E91"/>
    <w:rsid w:val="00AB7425"/>
    <w:rsid w:val="00AF792A"/>
    <w:rsid w:val="00B02D39"/>
    <w:rsid w:val="00B30435"/>
    <w:rsid w:val="00B64846"/>
    <w:rsid w:val="00B664E2"/>
    <w:rsid w:val="00B85DDF"/>
    <w:rsid w:val="00BD321A"/>
    <w:rsid w:val="00BF01FE"/>
    <w:rsid w:val="00C261BF"/>
    <w:rsid w:val="00C41B8F"/>
    <w:rsid w:val="00C46C6B"/>
    <w:rsid w:val="00C46E52"/>
    <w:rsid w:val="00CB3F6C"/>
    <w:rsid w:val="00D05D15"/>
    <w:rsid w:val="00D13ADC"/>
    <w:rsid w:val="00D806DF"/>
    <w:rsid w:val="00DD5808"/>
    <w:rsid w:val="00E07306"/>
    <w:rsid w:val="00E61E9A"/>
    <w:rsid w:val="00E67D0D"/>
    <w:rsid w:val="00E861FB"/>
    <w:rsid w:val="00EC5463"/>
    <w:rsid w:val="00ED1022"/>
    <w:rsid w:val="00EF627B"/>
    <w:rsid w:val="00EF6676"/>
    <w:rsid w:val="00F016AF"/>
    <w:rsid w:val="00F50525"/>
    <w:rsid w:val="00F5329B"/>
    <w:rsid w:val="00F92AFA"/>
    <w:rsid w:val="00F92B70"/>
    <w:rsid w:val="00FC01DB"/>
    <w:rsid w:val="00FC496A"/>
    <w:rsid w:val="00FD327B"/>
    <w:rsid w:val="268D2F7C"/>
    <w:rsid w:val="2B9459DB"/>
    <w:rsid w:val="2F1C118A"/>
    <w:rsid w:val="31016969"/>
    <w:rsid w:val="3FEA5351"/>
    <w:rsid w:val="47E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5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7669FA-CE64-4BCA-ACD6-DB91F300B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793</Words>
  <Characters>1041</Characters>
  <Lines>8</Lines>
  <Paragraphs>2</Paragraphs>
  <TotalTime>0</TotalTime>
  <ScaleCrop>false</ScaleCrop>
  <LinksUpToDate>false</LinksUpToDate>
  <CharactersWithSpaces>1069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2018-10-16T03:26:00Z</dcterms:created>
  <dc:creator>Qin Yu-秦超(NAR)</dc:creator>
  <cp:lastModifiedBy>波波</cp:lastModifiedBy>
  <cp:lastPrinted>2018-08-20T01:40:00Z</cp:lastPrinted>
  <dcterms:modified xsi:type="dcterms:W3CDTF">2023-12-01T07:43:47Z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A980A845F34F4580958360444540F946</vt:lpwstr>
  </property>
</Properties>
</file>